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D7" w:rsidRPr="00D16CB3" w:rsidRDefault="00F806D7" w:rsidP="00F806D7">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 xml:space="preserve">…WOW, </w:t>
      </w:r>
      <w:r w:rsidRPr="00D16CB3">
        <w:rPr>
          <w:rFonts w:ascii="Times New Roman" w:hAnsi="Times New Roman" w:cs="Times New Roman"/>
          <w:b/>
          <w:i/>
          <w:sz w:val="72"/>
          <w:szCs w:val="72"/>
          <w:lang w:val="en-US"/>
        </w:rPr>
        <w:t xml:space="preserve"> </w:t>
      </w:r>
      <w:r>
        <w:rPr>
          <w:rFonts w:ascii="Times New Roman" w:hAnsi="Times New Roman" w:cs="Times New Roman"/>
          <w:b/>
          <w:i/>
          <w:sz w:val="72"/>
          <w:szCs w:val="72"/>
          <w:lang w:val="en-US"/>
        </w:rPr>
        <w:t>full !</w:t>
      </w:r>
    </w:p>
    <w:p w:rsidR="00F806D7" w:rsidRDefault="00F806D7" w:rsidP="00F806D7">
      <w:pPr>
        <w:spacing w:after="0" w:line="240" w:lineRule="auto"/>
        <w:jc w:val="right"/>
        <w:rPr>
          <w:rFonts w:ascii="Times New Roman" w:hAnsi="Times New Roman" w:cs="Times New Roman"/>
          <w:b/>
          <w:sz w:val="40"/>
          <w:szCs w:val="40"/>
          <w:lang w:val="en-US"/>
        </w:rPr>
      </w:pPr>
      <w:r w:rsidRPr="00F806D7">
        <w:rPr>
          <w:rFonts w:ascii="Times New Roman" w:hAnsi="Times New Roman" w:cs="Times New Roman"/>
          <w:b/>
          <w:sz w:val="40"/>
          <w:szCs w:val="40"/>
          <w:lang w:val="en-US"/>
        </w:rPr>
        <w:t>A World in Crisis</w:t>
      </w:r>
    </w:p>
    <w:p w:rsidR="00F806D7" w:rsidRPr="00A311E8" w:rsidRDefault="00F806D7" w:rsidP="00F806D7">
      <w:pPr>
        <w:spacing w:after="0" w:line="240" w:lineRule="auto"/>
        <w:jc w:val="right"/>
        <w:rPr>
          <w:rFonts w:ascii="Times New Roman" w:hAnsi="Times New Roman" w:cs="Times New Roman"/>
          <w:b/>
          <w:sz w:val="40"/>
          <w:szCs w:val="40"/>
          <w:lang w:val="en-US"/>
        </w:rPr>
      </w:pPr>
    </w:p>
    <w:p w:rsidR="00F806D7" w:rsidRPr="00B01506" w:rsidRDefault="00F806D7" w:rsidP="00F806D7">
      <w:pPr>
        <w:spacing w:after="0" w:line="240" w:lineRule="auto"/>
        <w:jc w:val="right"/>
        <w:rPr>
          <w:rFonts w:ascii="Times New Roman" w:hAnsi="Times New Roman" w:cs="Times New Roman"/>
          <w:b/>
          <w:sz w:val="40"/>
          <w:szCs w:val="40"/>
          <w:lang w:val="en-US"/>
        </w:rPr>
      </w:pPr>
      <w:r w:rsidRPr="00B01506">
        <w:rPr>
          <w:rFonts w:ascii="Times New Roman" w:eastAsia="Times New Roman" w:hAnsi="Times New Roman" w:cs="Times New Roman"/>
          <w:b/>
          <w:sz w:val="40"/>
          <w:szCs w:val="40"/>
          <w:lang w:val="en-US" w:eastAsia="it-IT"/>
        </w:rPr>
        <w:t>Algae Cultivator</w:t>
      </w:r>
      <w:r>
        <w:rPr>
          <w:rFonts w:ascii="Times New Roman" w:eastAsia="Times New Roman" w:hAnsi="Times New Roman" w:cs="Times New Roman"/>
          <w:b/>
          <w:sz w:val="40"/>
          <w:szCs w:val="40"/>
          <w:lang w:val="en-US" w:eastAsia="it-IT"/>
        </w:rPr>
        <w:t xml:space="preserve"> </w:t>
      </w:r>
      <w:r w:rsidRPr="00B01506">
        <w:rPr>
          <w:rFonts w:ascii="Times New Roman" w:eastAsia="Times New Roman" w:hAnsi="Times New Roman" w:cs="Times New Roman"/>
          <w:b/>
          <w:sz w:val="40"/>
          <w:szCs w:val="40"/>
          <w:lang w:val="en-US" w:eastAsia="it-IT"/>
        </w:rPr>
        <w:t xml:space="preserve"> </w:t>
      </w:r>
      <w:r w:rsidRPr="00B01506">
        <w:rPr>
          <w:rFonts w:ascii="Times New Roman" w:hAnsi="Times New Roman" w:cs="Times New Roman"/>
          <w:b/>
          <w:sz w:val="40"/>
          <w:szCs w:val="40"/>
          <w:lang w:val="en-US"/>
        </w:rPr>
        <w:t xml:space="preserve">to SDG </w:t>
      </w:r>
      <w:r>
        <w:rPr>
          <w:rFonts w:ascii="Times New Roman" w:hAnsi="Times New Roman" w:cs="Times New Roman"/>
          <w:b/>
          <w:sz w:val="40"/>
          <w:szCs w:val="40"/>
          <w:lang w:val="en-US"/>
        </w:rPr>
        <w:t>7.1</w:t>
      </w:r>
    </w:p>
    <w:p w:rsidR="00F806D7" w:rsidRPr="00A311E8" w:rsidRDefault="00F806D7" w:rsidP="00F806D7">
      <w:pPr>
        <w:spacing w:after="0" w:line="240" w:lineRule="auto"/>
        <w:jc w:val="right"/>
        <w:rPr>
          <w:rFonts w:ascii="Times New Roman" w:hAnsi="Times New Roman" w:cs="Times New Roman"/>
          <w:b/>
          <w:sz w:val="40"/>
          <w:szCs w:val="40"/>
          <w:lang w:val="en-US"/>
        </w:rPr>
      </w:pPr>
    </w:p>
    <w:p w:rsidR="00F806D7" w:rsidRPr="00A311E8" w:rsidRDefault="00F806D7" w:rsidP="00F806D7">
      <w:pPr>
        <w:spacing w:after="0" w:line="240" w:lineRule="auto"/>
        <w:jc w:val="right"/>
        <w:rPr>
          <w:rFonts w:ascii="Times New Roman" w:hAnsi="Times New Roman" w:cs="Times New Roman"/>
          <w:b/>
          <w:sz w:val="40"/>
          <w:szCs w:val="40"/>
          <w:lang w:val="en-US"/>
        </w:rPr>
      </w:pPr>
      <w:r w:rsidRPr="00A311E8">
        <w:rPr>
          <w:rFonts w:ascii="Times New Roman" w:hAnsi="Times New Roman" w:cs="Times New Roman"/>
          <w:b/>
          <w:sz w:val="40"/>
          <w:szCs w:val="40"/>
          <w:lang w:val="en-US"/>
        </w:rPr>
        <w:t xml:space="preserve">SDG </w:t>
      </w:r>
      <w:r>
        <w:rPr>
          <w:rFonts w:ascii="Times New Roman" w:hAnsi="Times New Roman" w:cs="Times New Roman"/>
          <w:b/>
          <w:sz w:val="40"/>
          <w:szCs w:val="40"/>
          <w:lang w:val="en-US"/>
        </w:rPr>
        <w:t>7.1</w:t>
      </w:r>
      <w:r w:rsidRPr="00A311E8">
        <w:rPr>
          <w:rFonts w:ascii="Times New Roman" w:hAnsi="Times New Roman" w:cs="Times New Roman"/>
          <w:b/>
          <w:sz w:val="40"/>
          <w:szCs w:val="40"/>
          <w:lang w:val="en-US"/>
        </w:rPr>
        <w:t xml:space="preserve"> </w:t>
      </w:r>
      <w:r>
        <w:rPr>
          <w:rFonts w:ascii="Times New Roman" w:hAnsi="Times New Roman" w:cs="Times New Roman"/>
          <w:b/>
          <w:sz w:val="40"/>
          <w:szCs w:val="40"/>
          <w:lang w:val="en-US"/>
        </w:rPr>
        <w:t xml:space="preserve"> </w:t>
      </w:r>
      <w:r w:rsidRPr="00A311E8">
        <w:rPr>
          <w:rFonts w:ascii="Times New Roman" w:hAnsi="Times New Roman" w:cs="Times New Roman"/>
          <w:b/>
          <w:sz w:val="40"/>
          <w:szCs w:val="40"/>
          <w:lang w:val="en-US"/>
        </w:rPr>
        <w:t xml:space="preserve">what get by PBRC </w:t>
      </w:r>
      <w:r>
        <w:rPr>
          <w:rFonts w:ascii="Times New Roman" w:hAnsi="Times New Roman" w:cs="Times New Roman"/>
          <w:b/>
          <w:sz w:val="40"/>
          <w:szCs w:val="40"/>
          <w:lang w:val="en-US"/>
        </w:rPr>
        <w:t xml:space="preserve">? </w:t>
      </w:r>
      <w:r w:rsidRPr="00B01506">
        <w:rPr>
          <w:rFonts w:ascii="Times New Roman" w:hAnsi="Times New Roman" w:cs="Times New Roman"/>
          <w:b/>
          <w:sz w:val="36"/>
          <w:szCs w:val="36"/>
          <w:lang w:val="en-US"/>
        </w:rPr>
        <w:t>(Photo Bio Reactor Continuous)</w:t>
      </w:r>
    </w:p>
    <w:p w:rsidR="00A311E8" w:rsidRPr="00842337" w:rsidRDefault="00A311E8" w:rsidP="00557436">
      <w:pPr>
        <w:spacing w:after="0" w:line="240" w:lineRule="auto"/>
        <w:jc w:val="both"/>
        <w:rPr>
          <w:rFonts w:ascii="Times New Roman" w:hAnsi="Times New Roman" w:cs="Times New Roman"/>
          <w:b/>
          <w:sz w:val="72"/>
          <w:szCs w:val="72"/>
          <w:lang w:val="en-US"/>
        </w:rPr>
      </w:pPr>
    </w:p>
    <w:p w:rsidR="00557436" w:rsidRPr="00842337" w:rsidRDefault="00842337" w:rsidP="00557436">
      <w:pPr>
        <w:spacing w:after="0" w:line="240" w:lineRule="auto"/>
        <w:jc w:val="both"/>
        <w:rPr>
          <w:rFonts w:ascii="Times New Roman" w:eastAsia="Times New Roman" w:hAnsi="Times New Roman" w:cs="Times New Roman"/>
          <w:sz w:val="28"/>
          <w:szCs w:val="28"/>
          <w:lang w:val="en-US" w:eastAsia="it-IT"/>
        </w:rPr>
      </w:pPr>
      <w:r>
        <w:rPr>
          <w:rFonts w:ascii="Times New Roman" w:eastAsia="Times New Roman" w:hAnsi="Times New Roman" w:cs="Times New Roman"/>
          <w:b/>
          <w:sz w:val="28"/>
          <w:szCs w:val="28"/>
          <w:lang w:val="en-US" w:eastAsia="it-IT"/>
        </w:rPr>
        <w:t>Algae Cultivator</w:t>
      </w:r>
      <w:r w:rsidR="001F5528">
        <w:rPr>
          <w:rFonts w:ascii="Times New Roman" w:eastAsia="Times New Roman" w:hAnsi="Times New Roman" w:cs="Times New Roman"/>
          <w:b/>
          <w:sz w:val="28"/>
          <w:szCs w:val="28"/>
          <w:lang w:val="en-US" w:eastAsia="it-IT"/>
        </w:rPr>
        <w:t xml:space="preserve"> - </w:t>
      </w:r>
      <w:r>
        <w:rPr>
          <w:rFonts w:ascii="Times New Roman" w:eastAsia="Times New Roman" w:hAnsi="Times New Roman" w:cs="Times New Roman"/>
          <w:b/>
          <w:sz w:val="28"/>
          <w:szCs w:val="28"/>
          <w:lang w:val="en-US" w:eastAsia="it-IT"/>
        </w:rPr>
        <w:t xml:space="preserve">PBRC </w:t>
      </w:r>
      <w:r w:rsidR="00557436" w:rsidRPr="00842337">
        <w:rPr>
          <w:rFonts w:ascii="Times New Roman" w:eastAsia="Times New Roman" w:hAnsi="Times New Roman" w:cs="Times New Roman"/>
          <w:b/>
          <w:sz w:val="28"/>
          <w:szCs w:val="28"/>
          <w:lang w:val="en-US" w:eastAsia="it-IT"/>
        </w:rPr>
        <w:t xml:space="preserve">toward SDGs/UN </w:t>
      </w:r>
      <w:r>
        <w:rPr>
          <w:rFonts w:ascii="Times New Roman" w:eastAsia="Times New Roman" w:hAnsi="Times New Roman" w:cs="Times New Roman"/>
          <w:b/>
          <w:sz w:val="28"/>
          <w:szCs w:val="28"/>
          <w:lang w:val="en-US" w:eastAsia="it-IT"/>
        </w:rPr>
        <w:t xml:space="preserve">7.1 </w:t>
      </w:r>
      <w:r w:rsidR="00557436" w:rsidRPr="00842337">
        <w:rPr>
          <w:rFonts w:ascii="Times New Roman" w:eastAsia="Times New Roman" w:hAnsi="Times New Roman" w:cs="Times New Roman"/>
          <w:sz w:val="28"/>
          <w:szCs w:val="28"/>
          <w:lang w:val="en-US" w:eastAsia="it-IT"/>
        </w:rPr>
        <w:t>(</w:t>
      </w:r>
      <w:r w:rsidR="00E06770">
        <w:rPr>
          <w:rFonts w:ascii="Times New Roman" w:eastAsia="Times New Roman" w:hAnsi="Times New Roman" w:cs="Times New Roman"/>
          <w:sz w:val="28"/>
          <w:szCs w:val="28"/>
          <w:lang w:val="en-US" w:eastAsia="it-IT"/>
        </w:rPr>
        <w:t xml:space="preserve">Target 7.1 - </w:t>
      </w:r>
      <w:r w:rsidR="00974ADB" w:rsidRPr="00974ADB">
        <w:rPr>
          <w:rFonts w:ascii="Times New Roman" w:eastAsia="Times New Roman" w:hAnsi="Times New Roman" w:cs="Times New Roman"/>
          <w:sz w:val="28"/>
          <w:szCs w:val="28"/>
          <w:lang w:val="en-US" w:eastAsia="it-IT"/>
        </w:rPr>
        <w:t>By 2030, ensure universal access to affordable, reliable and modern energy services</w:t>
      </w:r>
      <w:r w:rsidR="001F5528">
        <w:rPr>
          <w:rFonts w:ascii="Times New Roman" w:eastAsia="Times New Roman" w:hAnsi="Times New Roman" w:cs="Times New Roman"/>
          <w:sz w:val="28"/>
          <w:szCs w:val="28"/>
          <w:lang w:val="en-US" w:eastAsia="it-IT"/>
        </w:rPr>
        <w:t>).</w:t>
      </w:r>
    </w:p>
    <w:p w:rsidR="00557436" w:rsidRPr="00842337" w:rsidRDefault="00557436" w:rsidP="00557436">
      <w:pPr>
        <w:spacing w:line="360" w:lineRule="auto"/>
        <w:jc w:val="both"/>
        <w:rPr>
          <w:rFonts w:ascii="Times New Roman" w:hAnsi="Times New Roman" w:cs="Times New Roman"/>
          <w:sz w:val="24"/>
          <w:szCs w:val="24"/>
          <w:lang w:val="en-US"/>
        </w:rPr>
      </w:pPr>
    </w:p>
    <w:p w:rsidR="00842337" w:rsidRDefault="0084233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57436" w:rsidRPr="00842337" w:rsidRDefault="00557436" w:rsidP="00557436">
      <w:pPr>
        <w:spacing w:line="360" w:lineRule="auto"/>
        <w:jc w:val="both"/>
        <w:rPr>
          <w:rFonts w:ascii="Times New Roman" w:hAnsi="Times New Roman" w:cs="Times New Roman"/>
          <w:sz w:val="24"/>
          <w:szCs w:val="24"/>
          <w:lang w:val="en-US"/>
        </w:rPr>
      </w:pPr>
    </w:p>
    <w:sdt>
      <w:sdtPr>
        <w:rPr>
          <w:rFonts w:ascii="Times New Roman" w:eastAsiaTheme="minorHAnsi" w:hAnsi="Times New Roman" w:cs="Times New Roman"/>
          <w:b w:val="0"/>
          <w:bCs w:val="0"/>
          <w:color w:val="auto"/>
          <w:sz w:val="24"/>
          <w:szCs w:val="24"/>
        </w:rPr>
        <w:id w:val="-1747957372"/>
        <w:docPartObj>
          <w:docPartGallery w:val="Table of Contents"/>
          <w:docPartUnique/>
        </w:docPartObj>
      </w:sdtPr>
      <w:sdtContent>
        <w:p w:rsidR="00557436" w:rsidRPr="00842337" w:rsidRDefault="00F806D7" w:rsidP="00557436">
          <w:pPr>
            <w:pStyle w:val="Titolosommario"/>
            <w:jc w:val="both"/>
            <w:rPr>
              <w:rFonts w:ascii="Times New Roman" w:hAnsi="Times New Roman" w:cs="Times New Roman"/>
              <w:sz w:val="24"/>
              <w:szCs w:val="24"/>
            </w:rPr>
          </w:pPr>
          <w:r w:rsidRPr="00F806D7">
            <w:rPr>
              <w:rFonts w:ascii="Times New Roman" w:hAnsi="Times New Roman" w:cs="Times New Roman"/>
            </w:rPr>
            <w:t>Summary</w:t>
          </w:r>
        </w:p>
        <w:p w:rsidR="0062190E" w:rsidRPr="00842337" w:rsidRDefault="0062190E" w:rsidP="0062190E">
          <w:pPr>
            <w:rPr>
              <w:rFonts w:ascii="Times New Roman" w:hAnsi="Times New Roman" w:cs="Times New Roman"/>
            </w:rPr>
          </w:pPr>
        </w:p>
        <w:p w:rsidR="002A138F" w:rsidRPr="002A138F" w:rsidRDefault="00562939">
          <w:pPr>
            <w:pStyle w:val="Sommario1"/>
            <w:rPr>
              <w:rFonts w:asciiTheme="minorHAnsi" w:eastAsiaTheme="minorEastAsia" w:hAnsiTheme="minorHAnsi" w:cstheme="minorBidi"/>
              <w:lang w:val="it-IT" w:eastAsia="it-IT"/>
            </w:rPr>
          </w:pPr>
          <w:r w:rsidRPr="00562939">
            <w:rPr>
              <w:b w:val="0"/>
              <w:sz w:val="24"/>
              <w:szCs w:val="24"/>
            </w:rPr>
            <w:fldChar w:fldCharType="begin"/>
          </w:r>
          <w:r w:rsidR="00557436" w:rsidRPr="00967B9B">
            <w:rPr>
              <w:b w:val="0"/>
              <w:sz w:val="24"/>
              <w:szCs w:val="24"/>
            </w:rPr>
            <w:instrText xml:space="preserve"> TOC \o "1-3" \h \z \u </w:instrText>
          </w:r>
          <w:r w:rsidRPr="00562939">
            <w:rPr>
              <w:b w:val="0"/>
              <w:sz w:val="24"/>
              <w:szCs w:val="24"/>
            </w:rPr>
            <w:fldChar w:fldCharType="separate"/>
          </w:r>
          <w:hyperlink w:anchor="_Toc149491213" w:history="1">
            <w:r w:rsidR="002A138F" w:rsidRPr="002A138F">
              <w:rPr>
                <w:rStyle w:val="Collegamentoipertestuale"/>
              </w:rPr>
              <w:t>Table of Contents</w:t>
            </w:r>
            <w:r w:rsidR="002A138F" w:rsidRPr="002A138F">
              <w:rPr>
                <w:webHidden/>
              </w:rPr>
              <w:tab/>
            </w:r>
            <w:r w:rsidRPr="002A138F">
              <w:rPr>
                <w:webHidden/>
              </w:rPr>
              <w:fldChar w:fldCharType="begin"/>
            </w:r>
            <w:r w:rsidR="002A138F" w:rsidRPr="002A138F">
              <w:rPr>
                <w:webHidden/>
              </w:rPr>
              <w:instrText xml:space="preserve"> PAGEREF _Toc149491213 \h </w:instrText>
            </w:r>
            <w:r w:rsidRPr="002A138F">
              <w:rPr>
                <w:webHidden/>
              </w:rPr>
            </w:r>
            <w:r w:rsidRPr="002A138F">
              <w:rPr>
                <w:webHidden/>
              </w:rPr>
              <w:fldChar w:fldCharType="separate"/>
            </w:r>
            <w:r w:rsidR="002A138F" w:rsidRPr="002A138F">
              <w:rPr>
                <w:webHidden/>
              </w:rPr>
              <w:t>5</w:t>
            </w:r>
            <w:r w:rsidRPr="002A138F">
              <w:rPr>
                <w:webHidden/>
              </w:rPr>
              <w:fldChar w:fldCharType="end"/>
            </w:r>
          </w:hyperlink>
        </w:p>
        <w:p w:rsidR="002A138F" w:rsidRPr="002A138F" w:rsidRDefault="00562939">
          <w:pPr>
            <w:pStyle w:val="Sommario1"/>
            <w:rPr>
              <w:rFonts w:asciiTheme="minorHAnsi" w:eastAsiaTheme="minorEastAsia" w:hAnsiTheme="minorHAnsi" w:cstheme="minorBidi"/>
              <w:lang w:val="it-IT" w:eastAsia="it-IT"/>
            </w:rPr>
          </w:pPr>
          <w:hyperlink w:anchor="_Toc149491214" w:history="1">
            <w:r w:rsidR="002A138F" w:rsidRPr="002A138F">
              <w:rPr>
                <w:rStyle w:val="Collegamentoipertestuale"/>
              </w:rPr>
              <w:t>A World in Crisis</w:t>
            </w:r>
            <w:r w:rsidR="002A138F" w:rsidRPr="002A138F">
              <w:rPr>
                <w:webHidden/>
              </w:rPr>
              <w:tab/>
            </w:r>
            <w:r w:rsidRPr="002A138F">
              <w:rPr>
                <w:webHidden/>
              </w:rPr>
              <w:fldChar w:fldCharType="begin"/>
            </w:r>
            <w:r w:rsidR="002A138F" w:rsidRPr="002A138F">
              <w:rPr>
                <w:webHidden/>
              </w:rPr>
              <w:instrText xml:space="preserve"> PAGEREF _Toc149491214 \h </w:instrText>
            </w:r>
            <w:r w:rsidRPr="002A138F">
              <w:rPr>
                <w:webHidden/>
              </w:rPr>
            </w:r>
            <w:r w:rsidRPr="002A138F">
              <w:rPr>
                <w:webHidden/>
              </w:rPr>
              <w:fldChar w:fldCharType="separate"/>
            </w:r>
            <w:r w:rsidR="002A138F" w:rsidRPr="002A138F">
              <w:rPr>
                <w:webHidden/>
              </w:rPr>
              <w:t>8</w:t>
            </w:r>
            <w:r w:rsidRPr="002A138F">
              <w:rPr>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15" w:history="1">
            <w:r w:rsidR="002A138F" w:rsidRPr="002A138F">
              <w:rPr>
                <w:rStyle w:val="Collegamentoipertestuale"/>
                <w:b w:val="0"/>
              </w:rPr>
              <w:t>A Magical Discovery</w:t>
            </w:r>
            <w:r w:rsidR="002A138F" w:rsidRPr="002A138F">
              <w:rPr>
                <w:b w:val="0"/>
                <w:webHidden/>
              </w:rPr>
              <w:tab/>
            </w:r>
            <w:r w:rsidRPr="002A138F">
              <w:rPr>
                <w:b w:val="0"/>
                <w:webHidden/>
              </w:rPr>
              <w:fldChar w:fldCharType="begin"/>
            </w:r>
            <w:r w:rsidR="002A138F" w:rsidRPr="002A138F">
              <w:rPr>
                <w:b w:val="0"/>
                <w:webHidden/>
              </w:rPr>
              <w:instrText xml:space="preserve"> PAGEREF _Toc149491215 \h </w:instrText>
            </w:r>
            <w:r w:rsidRPr="002A138F">
              <w:rPr>
                <w:b w:val="0"/>
                <w:webHidden/>
              </w:rPr>
            </w:r>
            <w:r w:rsidRPr="002A138F">
              <w:rPr>
                <w:b w:val="0"/>
                <w:webHidden/>
              </w:rPr>
              <w:fldChar w:fldCharType="separate"/>
            </w:r>
            <w:r w:rsidR="002A138F" w:rsidRPr="002A138F">
              <w:rPr>
                <w:b w:val="0"/>
                <w:webHidden/>
              </w:rPr>
              <w:t>10</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16" w:history="1">
            <w:r w:rsidR="002A138F" w:rsidRPr="002A138F">
              <w:rPr>
                <w:rStyle w:val="Collegamentoipertestuale"/>
                <w:b w:val="0"/>
              </w:rPr>
              <w:t>The Birth of a Dream</w:t>
            </w:r>
            <w:r w:rsidR="002A138F" w:rsidRPr="002A138F">
              <w:rPr>
                <w:b w:val="0"/>
                <w:webHidden/>
              </w:rPr>
              <w:tab/>
            </w:r>
            <w:r w:rsidRPr="002A138F">
              <w:rPr>
                <w:b w:val="0"/>
                <w:webHidden/>
              </w:rPr>
              <w:fldChar w:fldCharType="begin"/>
            </w:r>
            <w:r w:rsidR="002A138F" w:rsidRPr="002A138F">
              <w:rPr>
                <w:b w:val="0"/>
                <w:webHidden/>
              </w:rPr>
              <w:instrText xml:space="preserve"> PAGEREF _Toc149491216 \h </w:instrText>
            </w:r>
            <w:r w:rsidRPr="002A138F">
              <w:rPr>
                <w:b w:val="0"/>
                <w:webHidden/>
              </w:rPr>
            </w:r>
            <w:r w:rsidRPr="002A138F">
              <w:rPr>
                <w:b w:val="0"/>
                <w:webHidden/>
              </w:rPr>
              <w:fldChar w:fldCharType="separate"/>
            </w:r>
            <w:r w:rsidR="002A138F" w:rsidRPr="002A138F">
              <w:rPr>
                <w:b w:val="0"/>
                <w:webHidden/>
              </w:rPr>
              <w:t>13</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17" w:history="1">
            <w:r w:rsidR="002A138F" w:rsidRPr="002A138F">
              <w:rPr>
                <w:rStyle w:val="Collegamentoipertestuale"/>
                <w:b w:val="0"/>
              </w:rPr>
              <w:t>Gathering Allies</w:t>
            </w:r>
            <w:r w:rsidR="002A138F" w:rsidRPr="002A138F">
              <w:rPr>
                <w:b w:val="0"/>
                <w:webHidden/>
              </w:rPr>
              <w:tab/>
            </w:r>
            <w:r w:rsidRPr="002A138F">
              <w:rPr>
                <w:b w:val="0"/>
                <w:webHidden/>
              </w:rPr>
              <w:fldChar w:fldCharType="begin"/>
            </w:r>
            <w:r w:rsidR="002A138F" w:rsidRPr="002A138F">
              <w:rPr>
                <w:b w:val="0"/>
                <w:webHidden/>
              </w:rPr>
              <w:instrText xml:space="preserve"> PAGEREF _Toc149491217 \h </w:instrText>
            </w:r>
            <w:r w:rsidRPr="002A138F">
              <w:rPr>
                <w:b w:val="0"/>
                <w:webHidden/>
              </w:rPr>
            </w:r>
            <w:r w:rsidRPr="002A138F">
              <w:rPr>
                <w:b w:val="0"/>
                <w:webHidden/>
              </w:rPr>
              <w:fldChar w:fldCharType="separate"/>
            </w:r>
            <w:r w:rsidR="002A138F" w:rsidRPr="002A138F">
              <w:rPr>
                <w:b w:val="0"/>
                <w:webHidden/>
              </w:rPr>
              <w:t>16</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18" w:history="1">
            <w:r w:rsidR="002A138F" w:rsidRPr="002A138F">
              <w:rPr>
                <w:rStyle w:val="Collegamentoipertestuale"/>
                <w:b w:val="0"/>
              </w:rPr>
              <w:t>The Grand Experiment</w:t>
            </w:r>
            <w:r w:rsidR="002A138F" w:rsidRPr="002A138F">
              <w:rPr>
                <w:b w:val="0"/>
                <w:webHidden/>
              </w:rPr>
              <w:tab/>
            </w:r>
            <w:r w:rsidRPr="002A138F">
              <w:rPr>
                <w:b w:val="0"/>
                <w:webHidden/>
              </w:rPr>
              <w:fldChar w:fldCharType="begin"/>
            </w:r>
            <w:r w:rsidR="002A138F" w:rsidRPr="002A138F">
              <w:rPr>
                <w:b w:val="0"/>
                <w:webHidden/>
              </w:rPr>
              <w:instrText xml:space="preserve"> PAGEREF _Toc149491218 \h </w:instrText>
            </w:r>
            <w:r w:rsidRPr="002A138F">
              <w:rPr>
                <w:b w:val="0"/>
                <w:webHidden/>
              </w:rPr>
            </w:r>
            <w:r w:rsidRPr="002A138F">
              <w:rPr>
                <w:b w:val="0"/>
                <w:webHidden/>
              </w:rPr>
              <w:fldChar w:fldCharType="separate"/>
            </w:r>
            <w:r w:rsidR="002A138F" w:rsidRPr="002A138F">
              <w:rPr>
                <w:b w:val="0"/>
                <w:webHidden/>
              </w:rPr>
              <w:t>19</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19" w:history="1">
            <w:r w:rsidR="002A138F" w:rsidRPr="002A138F">
              <w:rPr>
                <w:rStyle w:val="Collegamentoipertestuale"/>
                <w:b w:val="0"/>
              </w:rPr>
              <w:t>A Country Transformed</w:t>
            </w:r>
            <w:r w:rsidR="002A138F" w:rsidRPr="002A138F">
              <w:rPr>
                <w:b w:val="0"/>
                <w:webHidden/>
              </w:rPr>
              <w:tab/>
            </w:r>
            <w:r w:rsidRPr="002A138F">
              <w:rPr>
                <w:b w:val="0"/>
                <w:webHidden/>
              </w:rPr>
              <w:fldChar w:fldCharType="begin"/>
            </w:r>
            <w:r w:rsidR="002A138F" w:rsidRPr="002A138F">
              <w:rPr>
                <w:b w:val="0"/>
                <w:webHidden/>
              </w:rPr>
              <w:instrText xml:space="preserve"> PAGEREF _Toc149491219 \h </w:instrText>
            </w:r>
            <w:r w:rsidRPr="002A138F">
              <w:rPr>
                <w:b w:val="0"/>
                <w:webHidden/>
              </w:rPr>
            </w:r>
            <w:r w:rsidRPr="002A138F">
              <w:rPr>
                <w:b w:val="0"/>
                <w:webHidden/>
              </w:rPr>
              <w:fldChar w:fldCharType="separate"/>
            </w:r>
            <w:r w:rsidR="002A138F" w:rsidRPr="002A138F">
              <w:rPr>
                <w:b w:val="0"/>
                <w:webHidden/>
              </w:rPr>
              <w:t>22</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0" w:history="1">
            <w:r w:rsidR="002A138F" w:rsidRPr="002A138F">
              <w:rPr>
                <w:rStyle w:val="Collegamentoipertestuale"/>
                <w:b w:val="0"/>
              </w:rPr>
              <w:t>A Sustainable Pakistan</w:t>
            </w:r>
            <w:r w:rsidR="002A138F" w:rsidRPr="002A138F">
              <w:rPr>
                <w:b w:val="0"/>
                <w:webHidden/>
              </w:rPr>
              <w:tab/>
            </w:r>
            <w:r w:rsidRPr="002A138F">
              <w:rPr>
                <w:b w:val="0"/>
                <w:webHidden/>
              </w:rPr>
              <w:fldChar w:fldCharType="begin"/>
            </w:r>
            <w:r w:rsidR="002A138F" w:rsidRPr="002A138F">
              <w:rPr>
                <w:b w:val="0"/>
                <w:webHidden/>
              </w:rPr>
              <w:instrText xml:space="preserve"> PAGEREF _Toc149491220 \h </w:instrText>
            </w:r>
            <w:r w:rsidRPr="002A138F">
              <w:rPr>
                <w:b w:val="0"/>
                <w:webHidden/>
              </w:rPr>
            </w:r>
            <w:r w:rsidRPr="002A138F">
              <w:rPr>
                <w:b w:val="0"/>
                <w:webHidden/>
              </w:rPr>
              <w:fldChar w:fldCharType="separate"/>
            </w:r>
            <w:r w:rsidR="002A138F" w:rsidRPr="002A138F">
              <w:rPr>
                <w:b w:val="0"/>
                <w:webHidden/>
              </w:rPr>
              <w:t>25</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1" w:history="1">
            <w:r w:rsidR="002A138F" w:rsidRPr="002A138F">
              <w:rPr>
                <w:rStyle w:val="Collegamentoipertestuale"/>
                <w:b w:val="0"/>
              </w:rPr>
              <w:t>A New Hope</w:t>
            </w:r>
            <w:r w:rsidR="002A138F" w:rsidRPr="002A138F">
              <w:rPr>
                <w:b w:val="0"/>
                <w:webHidden/>
              </w:rPr>
              <w:tab/>
            </w:r>
            <w:r w:rsidRPr="002A138F">
              <w:rPr>
                <w:b w:val="0"/>
                <w:webHidden/>
              </w:rPr>
              <w:fldChar w:fldCharType="begin"/>
            </w:r>
            <w:r w:rsidR="002A138F" w:rsidRPr="002A138F">
              <w:rPr>
                <w:b w:val="0"/>
                <w:webHidden/>
              </w:rPr>
              <w:instrText xml:space="preserve"> PAGEREF _Toc149491221 \h </w:instrText>
            </w:r>
            <w:r w:rsidRPr="002A138F">
              <w:rPr>
                <w:b w:val="0"/>
                <w:webHidden/>
              </w:rPr>
            </w:r>
            <w:r w:rsidRPr="002A138F">
              <w:rPr>
                <w:b w:val="0"/>
                <w:webHidden/>
              </w:rPr>
              <w:fldChar w:fldCharType="separate"/>
            </w:r>
            <w:r w:rsidR="002A138F" w:rsidRPr="002A138F">
              <w:rPr>
                <w:b w:val="0"/>
                <w:webHidden/>
              </w:rPr>
              <w:t>29</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2" w:history="1">
            <w:r w:rsidR="002A138F" w:rsidRPr="002A138F">
              <w:rPr>
                <w:rStyle w:val="Collegamentoipertestuale"/>
                <w:b w:val="0"/>
              </w:rPr>
              <w:t>The Legacy</w:t>
            </w:r>
            <w:r w:rsidR="002A138F" w:rsidRPr="002A138F">
              <w:rPr>
                <w:b w:val="0"/>
                <w:webHidden/>
              </w:rPr>
              <w:tab/>
            </w:r>
            <w:r w:rsidRPr="002A138F">
              <w:rPr>
                <w:b w:val="0"/>
                <w:webHidden/>
              </w:rPr>
              <w:fldChar w:fldCharType="begin"/>
            </w:r>
            <w:r w:rsidR="002A138F" w:rsidRPr="002A138F">
              <w:rPr>
                <w:b w:val="0"/>
                <w:webHidden/>
              </w:rPr>
              <w:instrText xml:space="preserve"> PAGEREF _Toc149491222 \h </w:instrText>
            </w:r>
            <w:r w:rsidRPr="002A138F">
              <w:rPr>
                <w:b w:val="0"/>
                <w:webHidden/>
              </w:rPr>
            </w:r>
            <w:r w:rsidRPr="002A138F">
              <w:rPr>
                <w:b w:val="0"/>
                <w:webHidden/>
              </w:rPr>
              <w:fldChar w:fldCharType="separate"/>
            </w:r>
            <w:r w:rsidR="002A138F" w:rsidRPr="002A138F">
              <w:rPr>
                <w:b w:val="0"/>
                <w:webHidden/>
              </w:rPr>
              <w:t>32</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3" w:history="1">
            <w:r w:rsidR="002A138F" w:rsidRPr="002A138F">
              <w:rPr>
                <w:rStyle w:val="Collegamentoipertestuale"/>
                <w:b w:val="0"/>
              </w:rPr>
              <w:t>The Future</w:t>
            </w:r>
            <w:r w:rsidR="002A138F" w:rsidRPr="002A138F">
              <w:rPr>
                <w:b w:val="0"/>
                <w:webHidden/>
              </w:rPr>
              <w:tab/>
            </w:r>
            <w:r w:rsidRPr="002A138F">
              <w:rPr>
                <w:b w:val="0"/>
                <w:webHidden/>
              </w:rPr>
              <w:fldChar w:fldCharType="begin"/>
            </w:r>
            <w:r w:rsidR="002A138F" w:rsidRPr="002A138F">
              <w:rPr>
                <w:b w:val="0"/>
                <w:webHidden/>
              </w:rPr>
              <w:instrText xml:space="preserve"> PAGEREF _Toc149491223 \h </w:instrText>
            </w:r>
            <w:r w:rsidRPr="002A138F">
              <w:rPr>
                <w:b w:val="0"/>
                <w:webHidden/>
              </w:rPr>
            </w:r>
            <w:r w:rsidRPr="002A138F">
              <w:rPr>
                <w:b w:val="0"/>
                <w:webHidden/>
              </w:rPr>
              <w:fldChar w:fldCharType="separate"/>
            </w:r>
            <w:r w:rsidR="002A138F" w:rsidRPr="002A138F">
              <w:rPr>
                <w:b w:val="0"/>
                <w:webHidden/>
              </w:rPr>
              <w:t>36</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lang w:val="it-IT" w:eastAsia="it-IT"/>
            </w:rPr>
          </w:pPr>
          <w:hyperlink w:anchor="_Toc149491224" w:history="1">
            <w:r w:rsidR="002A138F" w:rsidRPr="002A138F">
              <w:rPr>
                <w:rStyle w:val="Collegamentoipertestuale"/>
              </w:rPr>
              <w:t>Algae Cultivator to SDG 7.1</w:t>
            </w:r>
            <w:r w:rsidR="002A138F" w:rsidRPr="002A138F">
              <w:rPr>
                <w:webHidden/>
              </w:rPr>
              <w:tab/>
            </w:r>
            <w:r w:rsidRPr="002A138F">
              <w:rPr>
                <w:webHidden/>
              </w:rPr>
              <w:fldChar w:fldCharType="begin"/>
            </w:r>
            <w:r w:rsidR="002A138F" w:rsidRPr="002A138F">
              <w:rPr>
                <w:webHidden/>
              </w:rPr>
              <w:instrText xml:space="preserve"> PAGEREF _Toc149491224 \h </w:instrText>
            </w:r>
            <w:r w:rsidRPr="002A138F">
              <w:rPr>
                <w:webHidden/>
              </w:rPr>
            </w:r>
            <w:r w:rsidRPr="002A138F">
              <w:rPr>
                <w:webHidden/>
              </w:rPr>
              <w:fldChar w:fldCharType="separate"/>
            </w:r>
            <w:r w:rsidR="002A138F" w:rsidRPr="002A138F">
              <w:rPr>
                <w:webHidden/>
              </w:rPr>
              <w:t>42</w:t>
            </w:r>
            <w:r w:rsidRPr="002A138F">
              <w:rPr>
                <w:webHidden/>
              </w:rPr>
              <w:fldChar w:fldCharType="end"/>
            </w:r>
          </w:hyperlink>
        </w:p>
        <w:p w:rsidR="002A138F" w:rsidRPr="002A138F" w:rsidRDefault="00562939">
          <w:pPr>
            <w:pStyle w:val="Sommario1"/>
            <w:rPr>
              <w:rFonts w:asciiTheme="minorHAnsi" w:eastAsiaTheme="minorEastAsia" w:hAnsiTheme="minorHAnsi" w:cstheme="minorBidi"/>
              <w:lang w:val="it-IT" w:eastAsia="it-IT"/>
            </w:rPr>
          </w:pPr>
          <w:hyperlink w:anchor="_Toc149491225" w:history="1">
            <w:r w:rsidR="002A138F" w:rsidRPr="002A138F">
              <w:rPr>
                <w:rStyle w:val="Collegamentoipertestuale"/>
              </w:rPr>
              <w:t>Table of Contents:</w:t>
            </w:r>
            <w:r w:rsidR="002A138F" w:rsidRPr="002A138F">
              <w:rPr>
                <w:webHidden/>
              </w:rPr>
              <w:tab/>
            </w:r>
            <w:r w:rsidRPr="002A138F">
              <w:rPr>
                <w:webHidden/>
              </w:rPr>
              <w:fldChar w:fldCharType="begin"/>
            </w:r>
            <w:r w:rsidR="002A138F" w:rsidRPr="002A138F">
              <w:rPr>
                <w:webHidden/>
              </w:rPr>
              <w:instrText xml:space="preserve"> PAGEREF _Toc149491225 \h </w:instrText>
            </w:r>
            <w:r w:rsidRPr="002A138F">
              <w:rPr>
                <w:webHidden/>
              </w:rPr>
            </w:r>
            <w:r w:rsidRPr="002A138F">
              <w:rPr>
                <w:webHidden/>
              </w:rPr>
              <w:fldChar w:fldCharType="separate"/>
            </w:r>
            <w:r w:rsidR="002A138F" w:rsidRPr="002A138F">
              <w:rPr>
                <w:webHidden/>
              </w:rPr>
              <w:t>42</w:t>
            </w:r>
            <w:r w:rsidRPr="002A138F">
              <w:rPr>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6" w:history="1">
            <w:r w:rsidR="002A138F" w:rsidRPr="002A138F">
              <w:rPr>
                <w:rStyle w:val="Collegamentoipertestuale"/>
                <w:b w:val="0"/>
              </w:rPr>
              <w:t>Introduction</w:t>
            </w:r>
            <w:r w:rsidR="002A138F" w:rsidRPr="002A138F">
              <w:rPr>
                <w:b w:val="0"/>
                <w:webHidden/>
              </w:rPr>
              <w:tab/>
            </w:r>
            <w:r w:rsidRPr="002A138F">
              <w:rPr>
                <w:b w:val="0"/>
                <w:webHidden/>
              </w:rPr>
              <w:fldChar w:fldCharType="begin"/>
            </w:r>
            <w:r w:rsidR="002A138F" w:rsidRPr="002A138F">
              <w:rPr>
                <w:b w:val="0"/>
                <w:webHidden/>
              </w:rPr>
              <w:instrText xml:space="preserve"> PAGEREF _Toc149491226 \h </w:instrText>
            </w:r>
            <w:r w:rsidRPr="002A138F">
              <w:rPr>
                <w:b w:val="0"/>
                <w:webHidden/>
              </w:rPr>
            </w:r>
            <w:r w:rsidRPr="002A138F">
              <w:rPr>
                <w:b w:val="0"/>
                <w:webHidden/>
              </w:rPr>
              <w:fldChar w:fldCharType="separate"/>
            </w:r>
            <w:r w:rsidR="002A138F" w:rsidRPr="002A138F">
              <w:rPr>
                <w:b w:val="0"/>
                <w:webHidden/>
              </w:rPr>
              <w:t>48</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7" w:history="1">
            <w:r w:rsidR="002A138F" w:rsidRPr="002A138F">
              <w:rPr>
                <w:rStyle w:val="Collegamentoipertestuale"/>
                <w:b w:val="0"/>
              </w:rPr>
              <w:t>Sustainable Development Goal 7.1</w:t>
            </w:r>
            <w:r w:rsidR="002A138F" w:rsidRPr="002A138F">
              <w:rPr>
                <w:b w:val="0"/>
                <w:webHidden/>
              </w:rPr>
              <w:tab/>
            </w:r>
            <w:r w:rsidRPr="002A138F">
              <w:rPr>
                <w:b w:val="0"/>
                <w:webHidden/>
              </w:rPr>
              <w:fldChar w:fldCharType="begin"/>
            </w:r>
            <w:r w:rsidR="002A138F" w:rsidRPr="002A138F">
              <w:rPr>
                <w:b w:val="0"/>
                <w:webHidden/>
              </w:rPr>
              <w:instrText xml:space="preserve"> PAGEREF _Toc149491227 \h </w:instrText>
            </w:r>
            <w:r w:rsidRPr="002A138F">
              <w:rPr>
                <w:b w:val="0"/>
                <w:webHidden/>
              </w:rPr>
            </w:r>
            <w:r w:rsidRPr="002A138F">
              <w:rPr>
                <w:b w:val="0"/>
                <w:webHidden/>
              </w:rPr>
              <w:fldChar w:fldCharType="separate"/>
            </w:r>
            <w:r w:rsidR="002A138F" w:rsidRPr="002A138F">
              <w:rPr>
                <w:b w:val="0"/>
                <w:webHidden/>
              </w:rPr>
              <w:t>53</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8" w:history="1">
            <w:r w:rsidR="002A138F" w:rsidRPr="002A138F">
              <w:rPr>
                <w:rStyle w:val="Collegamentoipertestuale"/>
                <w:b w:val="0"/>
              </w:rPr>
              <w:t>Microalgae as a Sustainable Energy Source</w:t>
            </w:r>
            <w:r w:rsidR="002A138F" w:rsidRPr="002A138F">
              <w:rPr>
                <w:b w:val="0"/>
                <w:webHidden/>
              </w:rPr>
              <w:tab/>
            </w:r>
            <w:r w:rsidRPr="002A138F">
              <w:rPr>
                <w:b w:val="0"/>
                <w:webHidden/>
              </w:rPr>
              <w:fldChar w:fldCharType="begin"/>
            </w:r>
            <w:r w:rsidR="002A138F" w:rsidRPr="002A138F">
              <w:rPr>
                <w:b w:val="0"/>
                <w:webHidden/>
              </w:rPr>
              <w:instrText xml:space="preserve"> PAGEREF _Toc149491228 \h </w:instrText>
            </w:r>
            <w:r w:rsidRPr="002A138F">
              <w:rPr>
                <w:b w:val="0"/>
                <w:webHidden/>
              </w:rPr>
            </w:r>
            <w:r w:rsidRPr="002A138F">
              <w:rPr>
                <w:b w:val="0"/>
                <w:webHidden/>
              </w:rPr>
              <w:fldChar w:fldCharType="separate"/>
            </w:r>
            <w:r w:rsidR="002A138F" w:rsidRPr="002A138F">
              <w:rPr>
                <w:b w:val="0"/>
                <w:webHidden/>
              </w:rPr>
              <w:t>59</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29" w:history="1">
            <w:r w:rsidR="002A138F" w:rsidRPr="002A138F">
              <w:rPr>
                <w:rStyle w:val="Collegamentoipertestuale"/>
                <w:b w:val="0"/>
              </w:rPr>
              <w:t>Microalgae in Sustainable Agriculture</w:t>
            </w:r>
            <w:r w:rsidR="002A138F" w:rsidRPr="002A138F">
              <w:rPr>
                <w:b w:val="0"/>
                <w:webHidden/>
              </w:rPr>
              <w:tab/>
            </w:r>
            <w:r w:rsidRPr="002A138F">
              <w:rPr>
                <w:b w:val="0"/>
                <w:webHidden/>
              </w:rPr>
              <w:fldChar w:fldCharType="begin"/>
            </w:r>
            <w:r w:rsidR="002A138F" w:rsidRPr="002A138F">
              <w:rPr>
                <w:b w:val="0"/>
                <w:webHidden/>
              </w:rPr>
              <w:instrText xml:space="preserve"> PAGEREF _Toc149491229 \h </w:instrText>
            </w:r>
            <w:r w:rsidRPr="002A138F">
              <w:rPr>
                <w:b w:val="0"/>
                <w:webHidden/>
              </w:rPr>
            </w:r>
            <w:r w:rsidRPr="002A138F">
              <w:rPr>
                <w:b w:val="0"/>
                <w:webHidden/>
              </w:rPr>
              <w:fldChar w:fldCharType="separate"/>
            </w:r>
            <w:r w:rsidR="002A138F" w:rsidRPr="002A138F">
              <w:rPr>
                <w:b w:val="0"/>
                <w:webHidden/>
              </w:rPr>
              <w:t>67</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0" w:history="1">
            <w:r w:rsidR="002A138F" w:rsidRPr="002A138F">
              <w:rPr>
                <w:rStyle w:val="Collegamentoipertestuale"/>
                <w:b w:val="0"/>
              </w:rPr>
              <w:t>Patent Green Technology for SDG 7.1</w:t>
            </w:r>
            <w:r w:rsidR="002A138F" w:rsidRPr="002A138F">
              <w:rPr>
                <w:b w:val="0"/>
                <w:webHidden/>
              </w:rPr>
              <w:tab/>
            </w:r>
            <w:r w:rsidRPr="002A138F">
              <w:rPr>
                <w:b w:val="0"/>
                <w:webHidden/>
              </w:rPr>
              <w:fldChar w:fldCharType="begin"/>
            </w:r>
            <w:r w:rsidR="002A138F" w:rsidRPr="002A138F">
              <w:rPr>
                <w:b w:val="0"/>
                <w:webHidden/>
              </w:rPr>
              <w:instrText xml:space="preserve"> PAGEREF _Toc149491230 \h </w:instrText>
            </w:r>
            <w:r w:rsidRPr="002A138F">
              <w:rPr>
                <w:b w:val="0"/>
                <w:webHidden/>
              </w:rPr>
            </w:r>
            <w:r w:rsidRPr="002A138F">
              <w:rPr>
                <w:b w:val="0"/>
                <w:webHidden/>
              </w:rPr>
              <w:fldChar w:fldCharType="separate"/>
            </w:r>
            <w:r w:rsidR="002A138F" w:rsidRPr="002A138F">
              <w:rPr>
                <w:b w:val="0"/>
                <w:webHidden/>
              </w:rPr>
              <w:t>73</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1" w:history="1">
            <w:r w:rsidR="002A138F" w:rsidRPr="002A138F">
              <w:rPr>
                <w:rStyle w:val="Collegamentoipertestuale"/>
                <w:b w:val="0"/>
              </w:rPr>
              <w:t>The Interplay of Microalgae, PBRC, and SDG 7.1</w:t>
            </w:r>
            <w:r w:rsidR="002A138F" w:rsidRPr="002A138F">
              <w:rPr>
                <w:b w:val="0"/>
                <w:webHidden/>
              </w:rPr>
              <w:tab/>
            </w:r>
            <w:r w:rsidRPr="002A138F">
              <w:rPr>
                <w:b w:val="0"/>
                <w:webHidden/>
              </w:rPr>
              <w:fldChar w:fldCharType="begin"/>
            </w:r>
            <w:r w:rsidR="002A138F" w:rsidRPr="002A138F">
              <w:rPr>
                <w:b w:val="0"/>
                <w:webHidden/>
              </w:rPr>
              <w:instrText xml:space="preserve"> PAGEREF _Toc149491231 \h </w:instrText>
            </w:r>
            <w:r w:rsidRPr="002A138F">
              <w:rPr>
                <w:b w:val="0"/>
                <w:webHidden/>
              </w:rPr>
            </w:r>
            <w:r w:rsidRPr="002A138F">
              <w:rPr>
                <w:b w:val="0"/>
                <w:webHidden/>
              </w:rPr>
              <w:fldChar w:fldCharType="separate"/>
            </w:r>
            <w:r w:rsidR="002A138F" w:rsidRPr="002A138F">
              <w:rPr>
                <w:b w:val="0"/>
                <w:webHidden/>
              </w:rPr>
              <w:t>80</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2" w:history="1">
            <w:r w:rsidR="002A138F" w:rsidRPr="002A138F">
              <w:rPr>
                <w:rStyle w:val="Collegamentoipertestuale"/>
                <w:b w:val="0"/>
              </w:rPr>
              <w:t>Environmental and Economic Sustainability</w:t>
            </w:r>
            <w:r w:rsidR="002A138F" w:rsidRPr="002A138F">
              <w:rPr>
                <w:b w:val="0"/>
                <w:webHidden/>
              </w:rPr>
              <w:tab/>
            </w:r>
            <w:r w:rsidRPr="002A138F">
              <w:rPr>
                <w:b w:val="0"/>
                <w:webHidden/>
              </w:rPr>
              <w:fldChar w:fldCharType="begin"/>
            </w:r>
            <w:r w:rsidR="002A138F" w:rsidRPr="002A138F">
              <w:rPr>
                <w:b w:val="0"/>
                <w:webHidden/>
              </w:rPr>
              <w:instrText xml:space="preserve"> PAGEREF _Toc149491232 \h </w:instrText>
            </w:r>
            <w:r w:rsidRPr="002A138F">
              <w:rPr>
                <w:b w:val="0"/>
                <w:webHidden/>
              </w:rPr>
            </w:r>
            <w:r w:rsidRPr="002A138F">
              <w:rPr>
                <w:b w:val="0"/>
                <w:webHidden/>
              </w:rPr>
              <w:fldChar w:fldCharType="separate"/>
            </w:r>
            <w:r w:rsidR="002A138F" w:rsidRPr="002A138F">
              <w:rPr>
                <w:b w:val="0"/>
                <w:webHidden/>
              </w:rPr>
              <w:t>88</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3" w:history="1">
            <w:r w:rsidR="002A138F" w:rsidRPr="002A138F">
              <w:rPr>
                <w:rStyle w:val="Collegamentoipertestuale"/>
                <w:b w:val="0"/>
              </w:rPr>
              <w:t>The Future of Microalgae and SDG 7.1</w:t>
            </w:r>
            <w:r w:rsidR="002A138F" w:rsidRPr="002A138F">
              <w:rPr>
                <w:b w:val="0"/>
                <w:webHidden/>
              </w:rPr>
              <w:tab/>
            </w:r>
            <w:r w:rsidRPr="002A138F">
              <w:rPr>
                <w:b w:val="0"/>
                <w:webHidden/>
              </w:rPr>
              <w:fldChar w:fldCharType="begin"/>
            </w:r>
            <w:r w:rsidR="002A138F" w:rsidRPr="002A138F">
              <w:rPr>
                <w:b w:val="0"/>
                <w:webHidden/>
              </w:rPr>
              <w:instrText xml:space="preserve"> PAGEREF _Toc149491233 \h </w:instrText>
            </w:r>
            <w:r w:rsidRPr="002A138F">
              <w:rPr>
                <w:b w:val="0"/>
                <w:webHidden/>
              </w:rPr>
            </w:r>
            <w:r w:rsidRPr="002A138F">
              <w:rPr>
                <w:b w:val="0"/>
                <w:webHidden/>
              </w:rPr>
              <w:fldChar w:fldCharType="separate"/>
            </w:r>
            <w:r w:rsidR="002A138F" w:rsidRPr="002A138F">
              <w:rPr>
                <w:b w:val="0"/>
                <w:webHidden/>
              </w:rPr>
              <w:t>95</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4" w:history="1">
            <w:r w:rsidR="002A138F" w:rsidRPr="002A138F">
              <w:rPr>
                <w:rStyle w:val="Collegamentoipertestuale"/>
                <w:b w:val="0"/>
              </w:rPr>
              <w:t>Policy and Regulatory Frameworks</w:t>
            </w:r>
            <w:r w:rsidR="002A138F" w:rsidRPr="002A138F">
              <w:rPr>
                <w:b w:val="0"/>
                <w:webHidden/>
              </w:rPr>
              <w:tab/>
            </w:r>
            <w:r w:rsidRPr="002A138F">
              <w:rPr>
                <w:b w:val="0"/>
                <w:webHidden/>
              </w:rPr>
              <w:fldChar w:fldCharType="begin"/>
            </w:r>
            <w:r w:rsidR="002A138F" w:rsidRPr="002A138F">
              <w:rPr>
                <w:b w:val="0"/>
                <w:webHidden/>
              </w:rPr>
              <w:instrText xml:space="preserve"> PAGEREF _Toc149491234 \h </w:instrText>
            </w:r>
            <w:r w:rsidRPr="002A138F">
              <w:rPr>
                <w:b w:val="0"/>
                <w:webHidden/>
              </w:rPr>
            </w:r>
            <w:r w:rsidRPr="002A138F">
              <w:rPr>
                <w:b w:val="0"/>
                <w:webHidden/>
              </w:rPr>
              <w:fldChar w:fldCharType="separate"/>
            </w:r>
            <w:r w:rsidR="002A138F" w:rsidRPr="002A138F">
              <w:rPr>
                <w:b w:val="0"/>
                <w:webHidden/>
              </w:rPr>
              <w:t>101</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5" w:history="1">
            <w:r w:rsidR="002A138F" w:rsidRPr="002A138F">
              <w:rPr>
                <w:rStyle w:val="Collegamentoipertestuale"/>
                <w:b w:val="0"/>
              </w:rPr>
              <w:t>The Way Forward</w:t>
            </w:r>
            <w:r w:rsidR="002A138F" w:rsidRPr="002A138F">
              <w:rPr>
                <w:b w:val="0"/>
                <w:webHidden/>
              </w:rPr>
              <w:tab/>
            </w:r>
            <w:r w:rsidRPr="002A138F">
              <w:rPr>
                <w:b w:val="0"/>
                <w:webHidden/>
              </w:rPr>
              <w:fldChar w:fldCharType="begin"/>
            </w:r>
            <w:r w:rsidR="002A138F" w:rsidRPr="002A138F">
              <w:rPr>
                <w:b w:val="0"/>
                <w:webHidden/>
              </w:rPr>
              <w:instrText xml:space="preserve"> PAGEREF _Toc149491235 \h </w:instrText>
            </w:r>
            <w:r w:rsidRPr="002A138F">
              <w:rPr>
                <w:b w:val="0"/>
                <w:webHidden/>
              </w:rPr>
            </w:r>
            <w:r w:rsidRPr="002A138F">
              <w:rPr>
                <w:b w:val="0"/>
                <w:webHidden/>
              </w:rPr>
              <w:fldChar w:fldCharType="separate"/>
            </w:r>
            <w:r w:rsidR="002A138F" w:rsidRPr="002A138F">
              <w:rPr>
                <w:b w:val="0"/>
                <w:webHidden/>
              </w:rPr>
              <w:t>107</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lang w:val="it-IT" w:eastAsia="it-IT"/>
            </w:rPr>
          </w:pPr>
          <w:hyperlink w:anchor="_Toc149491236" w:history="1">
            <w:r w:rsidR="002A138F" w:rsidRPr="002A138F">
              <w:rPr>
                <w:rStyle w:val="Collegamentoipertestuale"/>
              </w:rPr>
              <w:t>Photo Bio Reactor Continuous</w:t>
            </w:r>
            <w:r w:rsidR="002A138F" w:rsidRPr="002A138F">
              <w:rPr>
                <w:webHidden/>
              </w:rPr>
              <w:tab/>
            </w:r>
            <w:r w:rsidRPr="002A138F">
              <w:rPr>
                <w:webHidden/>
              </w:rPr>
              <w:fldChar w:fldCharType="begin"/>
            </w:r>
            <w:r w:rsidR="002A138F" w:rsidRPr="002A138F">
              <w:rPr>
                <w:webHidden/>
              </w:rPr>
              <w:instrText xml:space="preserve"> PAGEREF _Toc149491236 \h </w:instrText>
            </w:r>
            <w:r w:rsidRPr="002A138F">
              <w:rPr>
                <w:webHidden/>
              </w:rPr>
            </w:r>
            <w:r w:rsidRPr="002A138F">
              <w:rPr>
                <w:webHidden/>
              </w:rPr>
              <w:fldChar w:fldCharType="separate"/>
            </w:r>
            <w:r w:rsidR="002A138F" w:rsidRPr="002A138F">
              <w:rPr>
                <w:webHidden/>
              </w:rPr>
              <w:t>113</w:t>
            </w:r>
            <w:r w:rsidRPr="002A138F">
              <w:rPr>
                <w:webHidden/>
              </w:rPr>
              <w:fldChar w:fldCharType="end"/>
            </w:r>
          </w:hyperlink>
        </w:p>
        <w:p w:rsidR="002A138F" w:rsidRPr="002A138F" w:rsidRDefault="00562939">
          <w:pPr>
            <w:pStyle w:val="Sommario1"/>
            <w:rPr>
              <w:rFonts w:asciiTheme="minorHAnsi" w:eastAsiaTheme="minorEastAsia" w:hAnsiTheme="minorHAnsi" w:cstheme="minorBidi"/>
              <w:lang w:val="it-IT" w:eastAsia="it-IT"/>
            </w:rPr>
          </w:pPr>
          <w:hyperlink w:anchor="_Toc149491237" w:history="1">
            <w:r w:rsidR="002A138F" w:rsidRPr="002A138F">
              <w:rPr>
                <w:rStyle w:val="Collegamentoipertestuale"/>
              </w:rPr>
              <w:t>Table of Contents:</w:t>
            </w:r>
            <w:r w:rsidR="002A138F" w:rsidRPr="002A138F">
              <w:rPr>
                <w:webHidden/>
              </w:rPr>
              <w:tab/>
            </w:r>
            <w:r w:rsidRPr="002A138F">
              <w:rPr>
                <w:webHidden/>
              </w:rPr>
              <w:fldChar w:fldCharType="begin"/>
            </w:r>
            <w:r w:rsidR="002A138F" w:rsidRPr="002A138F">
              <w:rPr>
                <w:webHidden/>
              </w:rPr>
              <w:instrText xml:space="preserve"> PAGEREF _Toc149491237 \h </w:instrText>
            </w:r>
            <w:r w:rsidRPr="002A138F">
              <w:rPr>
                <w:webHidden/>
              </w:rPr>
            </w:r>
            <w:r w:rsidRPr="002A138F">
              <w:rPr>
                <w:webHidden/>
              </w:rPr>
              <w:fldChar w:fldCharType="separate"/>
            </w:r>
            <w:r w:rsidR="002A138F" w:rsidRPr="002A138F">
              <w:rPr>
                <w:webHidden/>
              </w:rPr>
              <w:t>113</w:t>
            </w:r>
            <w:r w:rsidRPr="002A138F">
              <w:rPr>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8" w:history="1">
            <w:r w:rsidR="002A138F" w:rsidRPr="002A138F">
              <w:rPr>
                <w:rStyle w:val="Collegamentoipertestuale"/>
                <w:b w:val="0"/>
              </w:rPr>
              <w:t>The photo bio reactor continuous (pbrc) patent</w:t>
            </w:r>
            <w:r w:rsidR="002A138F" w:rsidRPr="002A138F">
              <w:rPr>
                <w:b w:val="0"/>
                <w:webHidden/>
              </w:rPr>
              <w:tab/>
            </w:r>
            <w:r w:rsidRPr="002A138F">
              <w:rPr>
                <w:b w:val="0"/>
                <w:webHidden/>
              </w:rPr>
              <w:fldChar w:fldCharType="begin"/>
            </w:r>
            <w:r w:rsidR="002A138F" w:rsidRPr="002A138F">
              <w:rPr>
                <w:b w:val="0"/>
                <w:webHidden/>
              </w:rPr>
              <w:instrText xml:space="preserve"> PAGEREF _Toc149491238 \h </w:instrText>
            </w:r>
            <w:r w:rsidRPr="002A138F">
              <w:rPr>
                <w:b w:val="0"/>
                <w:webHidden/>
              </w:rPr>
            </w:r>
            <w:r w:rsidRPr="002A138F">
              <w:rPr>
                <w:b w:val="0"/>
                <w:webHidden/>
              </w:rPr>
              <w:fldChar w:fldCharType="separate"/>
            </w:r>
            <w:r w:rsidR="002A138F" w:rsidRPr="002A138F">
              <w:rPr>
                <w:b w:val="0"/>
                <w:webHidden/>
              </w:rPr>
              <w:t>118</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39" w:history="1">
            <w:r w:rsidR="002A138F" w:rsidRPr="002A138F">
              <w:rPr>
                <w:rStyle w:val="Collegamentoipertestuale"/>
                <w:b w:val="0"/>
              </w:rPr>
              <w:t>The Science Behind PBRC</w:t>
            </w:r>
            <w:r w:rsidR="002A138F" w:rsidRPr="002A138F">
              <w:rPr>
                <w:b w:val="0"/>
                <w:webHidden/>
              </w:rPr>
              <w:tab/>
            </w:r>
            <w:r w:rsidRPr="002A138F">
              <w:rPr>
                <w:b w:val="0"/>
                <w:webHidden/>
              </w:rPr>
              <w:fldChar w:fldCharType="begin"/>
            </w:r>
            <w:r w:rsidR="002A138F" w:rsidRPr="002A138F">
              <w:rPr>
                <w:b w:val="0"/>
                <w:webHidden/>
              </w:rPr>
              <w:instrText xml:space="preserve"> PAGEREF _Toc149491239 \h </w:instrText>
            </w:r>
            <w:r w:rsidRPr="002A138F">
              <w:rPr>
                <w:b w:val="0"/>
                <w:webHidden/>
              </w:rPr>
            </w:r>
            <w:r w:rsidRPr="002A138F">
              <w:rPr>
                <w:b w:val="0"/>
                <w:webHidden/>
              </w:rPr>
              <w:fldChar w:fldCharType="separate"/>
            </w:r>
            <w:r w:rsidR="002A138F" w:rsidRPr="002A138F">
              <w:rPr>
                <w:b w:val="0"/>
                <w:webHidden/>
              </w:rPr>
              <w:t>125</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0" w:history="1">
            <w:r w:rsidR="002A138F" w:rsidRPr="002A138F">
              <w:rPr>
                <w:rStyle w:val="Collegamentoipertestuale"/>
                <w:b w:val="0"/>
              </w:rPr>
              <w:t>PBRC Patents and Projects</w:t>
            </w:r>
            <w:r w:rsidR="002A138F" w:rsidRPr="002A138F">
              <w:rPr>
                <w:b w:val="0"/>
                <w:webHidden/>
              </w:rPr>
              <w:tab/>
            </w:r>
            <w:r w:rsidRPr="002A138F">
              <w:rPr>
                <w:b w:val="0"/>
                <w:webHidden/>
              </w:rPr>
              <w:fldChar w:fldCharType="begin"/>
            </w:r>
            <w:r w:rsidR="002A138F" w:rsidRPr="002A138F">
              <w:rPr>
                <w:b w:val="0"/>
                <w:webHidden/>
              </w:rPr>
              <w:instrText xml:space="preserve"> PAGEREF _Toc149491240 \h </w:instrText>
            </w:r>
            <w:r w:rsidRPr="002A138F">
              <w:rPr>
                <w:b w:val="0"/>
                <w:webHidden/>
              </w:rPr>
            </w:r>
            <w:r w:rsidRPr="002A138F">
              <w:rPr>
                <w:b w:val="0"/>
                <w:webHidden/>
              </w:rPr>
              <w:fldChar w:fldCharType="separate"/>
            </w:r>
            <w:r w:rsidR="002A138F" w:rsidRPr="002A138F">
              <w:rPr>
                <w:b w:val="0"/>
                <w:webHidden/>
              </w:rPr>
              <w:t>129</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1" w:history="1">
            <w:r w:rsidR="002A138F" w:rsidRPr="002A138F">
              <w:rPr>
                <w:rStyle w:val="Collegamentoipertestuale"/>
                <w:b w:val="0"/>
              </w:rPr>
              <w:t>PBRC and the UN on Sustainable Development Goals</w:t>
            </w:r>
            <w:r w:rsidR="002A138F" w:rsidRPr="002A138F">
              <w:rPr>
                <w:b w:val="0"/>
                <w:webHidden/>
              </w:rPr>
              <w:tab/>
            </w:r>
            <w:r w:rsidRPr="002A138F">
              <w:rPr>
                <w:b w:val="0"/>
                <w:webHidden/>
              </w:rPr>
              <w:fldChar w:fldCharType="begin"/>
            </w:r>
            <w:r w:rsidR="002A138F" w:rsidRPr="002A138F">
              <w:rPr>
                <w:b w:val="0"/>
                <w:webHidden/>
              </w:rPr>
              <w:instrText xml:space="preserve"> PAGEREF _Toc149491241 \h </w:instrText>
            </w:r>
            <w:r w:rsidRPr="002A138F">
              <w:rPr>
                <w:b w:val="0"/>
                <w:webHidden/>
              </w:rPr>
            </w:r>
            <w:r w:rsidRPr="002A138F">
              <w:rPr>
                <w:b w:val="0"/>
                <w:webHidden/>
              </w:rPr>
              <w:fldChar w:fldCharType="separate"/>
            </w:r>
            <w:r w:rsidR="002A138F" w:rsidRPr="002A138F">
              <w:rPr>
                <w:b w:val="0"/>
                <w:webHidden/>
              </w:rPr>
              <w:t>132</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2" w:history="1">
            <w:r w:rsidR="002A138F" w:rsidRPr="002A138F">
              <w:rPr>
                <w:rStyle w:val="Collegamentoipertestuale"/>
                <w:b w:val="0"/>
              </w:rPr>
              <w:t>The Real Structure of PBRC (Photo Bio Reactor Continuous)</w:t>
            </w:r>
            <w:r w:rsidR="002A138F" w:rsidRPr="002A138F">
              <w:rPr>
                <w:b w:val="0"/>
                <w:webHidden/>
              </w:rPr>
              <w:tab/>
            </w:r>
            <w:r w:rsidRPr="002A138F">
              <w:rPr>
                <w:b w:val="0"/>
                <w:webHidden/>
              </w:rPr>
              <w:fldChar w:fldCharType="begin"/>
            </w:r>
            <w:r w:rsidR="002A138F" w:rsidRPr="002A138F">
              <w:rPr>
                <w:b w:val="0"/>
                <w:webHidden/>
              </w:rPr>
              <w:instrText xml:space="preserve"> PAGEREF _Toc149491242 \h </w:instrText>
            </w:r>
            <w:r w:rsidRPr="002A138F">
              <w:rPr>
                <w:b w:val="0"/>
                <w:webHidden/>
              </w:rPr>
            </w:r>
            <w:r w:rsidRPr="002A138F">
              <w:rPr>
                <w:b w:val="0"/>
                <w:webHidden/>
              </w:rPr>
              <w:fldChar w:fldCharType="separate"/>
            </w:r>
            <w:r w:rsidR="002A138F" w:rsidRPr="002A138F">
              <w:rPr>
                <w:b w:val="0"/>
                <w:webHidden/>
              </w:rPr>
              <w:t>135</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3" w:history="1">
            <w:r w:rsidR="002A138F" w:rsidRPr="002A138F">
              <w:rPr>
                <w:rStyle w:val="Collegamentoipertestuale"/>
                <w:b w:val="0"/>
              </w:rPr>
              <w:t>Sustainability and Environmental Impact</w:t>
            </w:r>
            <w:r w:rsidR="002A138F" w:rsidRPr="002A138F">
              <w:rPr>
                <w:b w:val="0"/>
                <w:webHidden/>
              </w:rPr>
              <w:tab/>
            </w:r>
            <w:r w:rsidRPr="002A138F">
              <w:rPr>
                <w:b w:val="0"/>
                <w:webHidden/>
              </w:rPr>
              <w:fldChar w:fldCharType="begin"/>
            </w:r>
            <w:r w:rsidR="002A138F" w:rsidRPr="002A138F">
              <w:rPr>
                <w:b w:val="0"/>
                <w:webHidden/>
              </w:rPr>
              <w:instrText xml:space="preserve"> PAGEREF _Toc149491243 \h </w:instrText>
            </w:r>
            <w:r w:rsidRPr="002A138F">
              <w:rPr>
                <w:b w:val="0"/>
                <w:webHidden/>
              </w:rPr>
            </w:r>
            <w:r w:rsidRPr="002A138F">
              <w:rPr>
                <w:b w:val="0"/>
                <w:webHidden/>
              </w:rPr>
              <w:fldChar w:fldCharType="separate"/>
            </w:r>
            <w:r w:rsidR="002A138F" w:rsidRPr="002A138F">
              <w:rPr>
                <w:b w:val="0"/>
                <w:webHidden/>
              </w:rPr>
              <w:t>140</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4" w:history="1">
            <w:r w:rsidR="002A138F" w:rsidRPr="002A138F">
              <w:rPr>
                <w:rStyle w:val="Collegamentoipertestuale"/>
                <w:b w:val="0"/>
              </w:rPr>
              <w:t>Economic and Social Implications</w:t>
            </w:r>
            <w:r w:rsidR="002A138F" w:rsidRPr="002A138F">
              <w:rPr>
                <w:b w:val="0"/>
                <w:webHidden/>
              </w:rPr>
              <w:tab/>
            </w:r>
            <w:r w:rsidRPr="002A138F">
              <w:rPr>
                <w:b w:val="0"/>
                <w:webHidden/>
              </w:rPr>
              <w:fldChar w:fldCharType="begin"/>
            </w:r>
            <w:r w:rsidR="002A138F" w:rsidRPr="002A138F">
              <w:rPr>
                <w:b w:val="0"/>
                <w:webHidden/>
              </w:rPr>
              <w:instrText xml:space="preserve"> PAGEREF _Toc149491244 \h </w:instrText>
            </w:r>
            <w:r w:rsidRPr="002A138F">
              <w:rPr>
                <w:b w:val="0"/>
                <w:webHidden/>
              </w:rPr>
            </w:r>
            <w:r w:rsidRPr="002A138F">
              <w:rPr>
                <w:b w:val="0"/>
                <w:webHidden/>
              </w:rPr>
              <w:fldChar w:fldCharType="separate"/>
            </w:r>
            <w:r w:rsidR="002A138F" w:rsidRPr="002A138F">
              <w:rPr>
                <w:b w:val="0"/>
                <w:webHidden/>
              </w:rPr>
              <w:t>144</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5" w:history="1">
            <w:r w:rsidR="002A138F" w:rsidRPr="002A138F">
              <w:rPr>
                <w:rStyle w:val="Collegamentoipertestuale"/>
                <w:b w:val="0"/>
              </w:rPr>
              <w:t>Patent Protection and SDG 7.1</w:t>
            </w:r>
            <w:r w:rsidR="002A138F" w:rsidRPr="002A138F">
              <w:rPr>
                <w:b w:val="0"/>
                <w:webHidden/>
              </w:rPr>
              <w:tab/>
            </w:r>
            <w:r w:rsidRPr="002A138F">
              <w:rPr>
                <w:b w:val="0"/>
                <w:webHidden/>
              </w:rPr>
              <w:fldChar w:fldCharType="begin"/>
            </w:r>
            <w:r w:rsidR="002A138F" w:rsidRPr="002A138F">
              <w:rPr>
                <w:b w:val="0"/>
                <w:webHidden/>
              </w:rPr>
              <w:instrText xml:space="preserve"> PAGEREF _Toc149491245 \h </w:instrText>
            </w:r>
            <w:r w:rsidRPr="002A138F">
              <w:rPr>
                <w:b w:val="0"/>
                <w:webHidden/>
              </w:rPr>
            </w:r>
            <w:r w:rsidRPr="002A138F">
              <w:rPr>
                <w:b w:val="0"/>
                <w:webHidden/>
              </w:rPr>
              <w:fldChar w:fldCharType="separate"/>
            </w:r>
            <w:r w:rsidR="002A138F" w:rsidRPr="002A138F">
              <w:rPr>
                <w:b w:val="0"/>
                <w:webHidden/>
              </w:rPr>
              <w:t>150</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6" w:history="1">
            <w:r w:rsidR="002A138F" w:rsidRPr="002A138F">
              <w:rPr>
                <w:rStyle w:val="Collegamentoipertestuale"/>
                <w:b w:val="0"/>
              </w:rPr>
              <w:t>Challenges and Barriers</w:t>
            </w:r>
            <w:r w:rsidR="002A138F" w:rsidRPr="002A138F">
              <w:rPr>
                <w:b w:val="0"/>
                <w:webHidden/>
              </w:rPr>
              <w:tab/>
            </w:r>
            <w:r w:rsidRPr="002A138F">
              <w:rPr>
                <w:b w:val="0"/>
                <w:webHidden/>
              </w:rPr>
              <w:fldChar w:fldCharType="begin"/>
            </w:r>
            <w:r w:rsidR="002A138F" w:rsidRPr="002A138F">
              <w:rPr>
                <w:b w:val="0"/>
                <w:webHidden/>
              </w:rPr>
              <w:instrText xml:space="preserve"> PAGEREF _Toc149491246 \h </w:instrText>
            </w:r>
            <w:r w:rsidRPr="002A138F">
              <w:rPr>
                <w:b w:val="0"/>
                <w:webHidden/>
              </w:rPr>
            </w:r>
            <w:r w:rsidRPr="002A138F">
              <w:rPr>
                <w:b w:val="0"/>
                <w:webHidden/>
              </w:rPr>
              <w:fldChar w:fldCharType="separate"/>
            </w:r>
            <w:r w:rsidR="002A138F" w:rsidRPr="002A138F">
              <w:rPr>
                <w:b w:val="0"/>
                <w:webHidden/>
              </w:rPr>
              <w:t>156</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7" w:history="1">
            <w:r w:rsidR="002A138F" w:rsidRPr="002A138F">
              <w:rPr>
                <w:rStyle w:val="Collegamentoipertestuale"/>
                <w:b w:val="0"/>
              </w:rPr>
              <w:t>Case Studies and Success Stories</w:t>
            </w:r>
            <w:r w:rsidR="002A138F" w:rsidRPr="002A138F">
              <w:rPr>
                <w:b w:val="0"/>
                <w:webHidden/>
              </w:rPr>
              <w:tab/>
            </w:r>
            <w:r w:rsidRPr="002A138F">
              <w:rPr>
                <w:b w:val="0"/>
                <w:webHidden/>
              </w:rPr>
              <w:fldChar w:fldCharType="begin"/>
            </w:r>
            <w:r w:rsidR="002A138F" w:rsidRPr="002A138F">
              <w:rPr>
                <w:b w:val="0"/>
                <w:webHidden/>
              </w:rPr>
              <w:instrText xml:space="preserve"> PAGEREF _Toc149491247 \h </w:instrText>
            </w:r>
            <w:r w:rsidRPr="002A138F">
              <w:rPr>
                <w:b w:val="0"/>
                <w:webHidden/>
              </w:rPr>
            </w:r>
            <w:r w:rsidRPr="002A138F">
              <w:rPr>
                <w:b w:val="0"/>
                <w:webHidden/>
              </w:rPr>
              <w:fldChar w:fldCharType="separate"/>
            </w:r>
            <w:r w:rsidR="002A138F" w:rsidRPr="002A138F">
              <w:rPr>
                <w:b w:val="0"/>
                <w:webHidden/>
              </w:rPr>
              <w:t>163</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8" w:history="1">
            <w:r w:rsidR="002A138F" w:rsidRPr="002A138F">
              <w:rPr>
                <w:rStyle w:val="Collegamentoipertestuale"/>
                <w:b w:val="0"/>
              </w:rPr>
              <w:t>The Way Forward</w:t>
            </w:r>
            <w:r w:rsidR="002A138F" w:rsidRPr="002A138F">
              <w:rPr>
                <w:b w:val="0"/>
                <w:webHidden/>
              </w:rPr>
              <w:tab/>
            </w:r>
            <w:r w:rsidRPr="002A138F">
              <w:rPr>
                <w:b w:val="0"/>
                <w:webHidden/>
              </w:rPr>
              <w:fldChar w:fldCharType="begin"/>
            </w:r>
            <w:r w:rsidR="002A138F" w:rsidRPr="002A138F">
              <w:rPr>
                <w:b w:val="0"/>
                <w:webHidden/>
              </w:rPr>
              <w:instrText xml:space="preserve"> PAGEREF _Toc149491248 \h </w:instrText>
            </w:r>
            <w:r w:rsidRPr="002A138F">
              <w:rPr>
                <w:b w:val="0"/>
                <w:webHidden/>
              </w:rPr>
            </w:r>
            <w:r w:rsidRPr="002A138F">
              <w:rPr>
                <w:b w:val="0"/>
                <w:webHidden/>
              </w:rPr>
              <w:fldChar w:fldCharType="separate"/>
            </w:r>
            <w:r w:rsidR="002A138F" w:rsidRPr="002A138F">
              <w:rPr>
                <w:b w:val="0"/>
                <w:webHidden/>
              </w:rPr>
              <w:t>171</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49" w:history="1">
            <w:r w:rsidR="002A138F" w:rsidRPr="002A138F">
              <w:rPr>
                <w:rStyle w:val="Collegamentoipertestuale"/>
                <w:b w:val="0"/>
              </w:rPr>
              <w:t>Global Perspectives on PBRC Patents</w:t>
            </w:r>
            <w:r w:rsidR="002A138F" w:rsidRPr="002A138F">
              <w:rPr>
                <w:b w:val="0"/>
                <w:webHidden/>
              </w:rPr>
              <w:tab/>
            </w:r>
            <w:r w:rsidRPr="002A138F">
              <w:rPr>
                <w:b w:val="0"/>
                <w:webHidden/>
              </w:rPr>
              <w:fldChar w:fldCharType="begin"/>
            </w:r>
            <w:r w:rsidR="002A138F" w:rsidRPr="002A138F">
              <w:rPr>
                <w:b w:val="0"/>
                <w:webHidden/>
              </w:rPr>
              <w:instrText xml:space="preserve"> PAGEREF _Toc149491249 \h </w:instrText>
            </w:r>
            <w:r w:rsidRPr="002A138F">
              <w:rPr>
                <w:b w:val="0"/>
                <w:webHidden/>
              </w:rPr>
            </w:r>
            <w:r w:rsidRPr="002A138F">
              <w:rPr>
                <w:b w:val="0"/>
                <w:webHidden/>
              </w:rPr>
              <w:fldChar w:fldCharType="separate"/>
            </w:r>
            <w:r w:rsidR="002A138F" w:rsidRPr="002A138F">
              <w:rPr>
                <w:b w:val="0"/>
                <w:webHidden/>
              </w:rPr>
              <w:t>179</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50" w:history="1">
            <w:r w:rsidR="002A138F" w:rsidRPr="002A138F">
              <w:rPr>
                <w:rStyle w:val="Collegamentoipertestuale"/>
                <w:b w:val="0"/>
              </w:rPr>
              <w:t>Future Prospect</w:t>
            </w:r>
            <w:r w:rsidR="002A138F" w:rsidRPr="002A138F">
              <w:rPr>
                <w:b w:val="0"/>
                <w:webHidden/>
              </w:rPr>
              <w:tab/>
            </w:r>
            <w:r w:rsidRPr="002A138F">
              <w:rPr>
                <w:b w:val="0"/>
                <w:webHidden/>
              </w:rPr>
              <w:fldChar w:fldCharType="begin"/>
            </w:r>
            <w:r w:rsidR="002A138F" w:rsidRPr="002A138F">
              <w:rPr>
                <w:b w:val="0"/>
                <w:webHidden/>
              </w:rPr>
              <w:instrText xml:space="preserve"> PAGEREF _Toc149491250 \h </w:instrText>
            </w:r>
            <w:r w:rsidRPr="002A138F">
              <w:rPr>
                <w:b w:val="0"/>
                <w:webHidden/>
              </w:rPr>
            </w:r>
            <w:r w:rsidRPr="002A138F">
              <w:rPr>
                <w:b w:val="0"/>
                <w:webHidden/>
              </w:rPr>
              <w:fldChar w:fldCharType="separate"/>
            </w:r>
            <w:r w:rsidR="002A138F" w:rsidRPr="002A138F">
              <w:rPr>
                <w:b w:val="0"/>
                <w:webHidden/>
              </w:rPr>
              <w:t>186</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51" w:history="1">
            <w:r w:rsidR="002A138F" w:rsidRPr="002A138F">
              <w:rPr>
                <w:rStyle w:val="Collegamentoipertestuale"/>
                <w:b w:val="0"/>
              </w:rPr>
              <w:t>Summary</w:t>
            </w:r>
            <w:r w:rsidR="002A138F" w:rsidRPr="002A138F">
              <w:rPr>
                <w:b w:val="0"/>
                <w:webHidden/>
              </w:rPr>
              <w:tab/>
            </w:r>
            <w:r w:rsidRPr="002A138F">
              <w:rPr>
                <w:b w:val="0"/>
                <w:webHidden/>
              </w:rPr>
              <w:fldChar w:fldCharType="begin"/>
            </w:r>
            <w:r w:rsidR="002A138F" w:rsidRPr="002A138F">
              <w:rPr>
                <w:b w:val="0"/>
                <w:webHidden/>
              </w:rPr>
              <w:instrText xml:space="preserve"> PAGEREF _Toc149491251 \h </w:instrText>
            </w:r>
            <w:r w:rsidRPr="002A138F">
              <w:rPr>
                <w:b w:val="0"/>
                <w:webHidden/>
              </w:rPr>
            </w:r>
            <w:r w:rsidRPr="002A138F">
              <w:rPr>
                <w:b w:val="0"/>
                <w:webHidden/>
              </w:rPr>
              <w:fldChar w:fldCharType="separate"/>
            </w:r>
            <w:r w:rsidR="002A138F" w:rsidRPr="002A138F">
              <w:rPr>
                <w:b w:val="0"/>
                <w:webHidden/>
              </w:rPr>
              <w:t>193</w:t>
            </w:r>
            <w:r w:rsidRPr="002A138F">
              <w:rPr>
                <w:b w:val="0"/>
                <w:webHidden/>
              </w:rPr>
              <w:fldChar w:fldCharType="end"/>
            </w:r>
          </w:hyperlink>
        </w:p>
        <w:p w:rsidR="002A138F" w:rsidRPr="002A138F" w:rsidRDefault="00562939">
          <w:pPr>
            <w:pStyle w:val="Sommario2"/>
            <w:rPr>
              <w:rFonts w:eastAsiaTheme="minorEastAsia"/>
              <w:b/>
              <w:lang w:val="it-IT" w:eastAsia="it-IT"/>
            </w:rPr>
          </w:pPr>
          <w:hyperlink w:anchor="_Toc149491252" w:history="1">
            <w:r w:rsidR="002A138F" w:rsidRPr="002A138F">
              <w:rPr>
                <w:rStyle w:val="Collegamentoipertestuale"/>
                <w:b/>
              </w:rPr>
              <w:t>J W T</w:t>
            </w:r>
            <w:r w:rsidR="002A138F" w:rsidRPr="002A138F">
              <w:rPr>
                <w:b/>
                <w:webHidden/>
              </w:rPr>
              <w:tab/>
            </w:r>
            <w:r w:rsidRPr="002A138F">
              <w:rPr>
                <w:b/>
                <w:webHidden/>
              </w:rPr>
              <w:fldChar w:fldCharType="begin"/>
            </w:r>
            <w:r w:rsidR="002A138F" w:rsidRPr="002A138F">
              <w:rPr>
                <w:b/>
                <w:webHidden/>
              </w:rPr>
              <w:instrText xml:space="preserve"> PAGEREF _Toc149491252 \h </w:instrText>
            </w:r>
            <w:r w:rsidRPr="002A138F">
              <w:rPr>
                <w:b/>
                <w:webHidden/>
              </w:rPr>
            </w:r>
            <w:r w:rsidRPr="002A138F">
              <w:rPr>
                <w:b/>
                <w:webHidden/>
              </w:rPr>
              <w:fldChar w:fldCharType="separate"/>
            </w:r>
            <w:r w:rsidR="002A138F" w:rsidRPr="002A138F">
              <w:rPr>
                <w:b/>
                <w:webHidden/>
              </w:rPr>
              <w:t>200</w:t>
            </w:r>
            <w:r w:rsidRPr="002A138F">
              <w:rPr>
                <w:b/>
                <w:webHidden/>
              </w:rPr>
              <w:fldChar w:fldCharType="end"/>
            </w:r>
          </w:hyperlink>
        </w:p>
        <w:p w:rsidR="002A138F" w:rsidRPr="002A138F" w:rsidRDefault="00562939">
          <w:pPr>
            <w:pStyle w:val="Sommario1"/>
            <w:rPr>
              <w:rFonts w:asciiTheme="minorHAnsi" w:eastAsiaTheme="minorEastAsia" w:hAnsiTheme="minorHAnsi" w:cstheme="minorBidi"/>
              <w:lang w:val="it-IT" w:eastAsia="it-IT"/>
            </w:rPr>
          </w:pPr>
          <w:hyperlink w:anchor="_Toc149491253" w:history="1">
            <w:r w:rsidR="002A138F" w:rsidRPr="002A138F">
              <w:rPr>
                <w:rStyle w:val="Collegamentoipertestuale"/>
              </w:rPr>
              <w:t>Bibliography/Conclusion</w:t>
            </w:r>
            <w:r w:rsidR="002A138F" w:rsidRPr="002A138F">
              <w:rPr>
                <w:webHidden/>
              </w:rPr>
              <w:tab/>
            </w:r>
            <w:r w:rsidRPr="002A138F">
              <w:rPr>
                <w:webHidden/>
              </w:rPr>
              <w:fldChar w:fldCharType="begin"/>
            </w:r>
            <w:r w:rsidR="002A138F" w:rsidRPr="002A138F">
              <w:rPr>
                <w:webHidden/>
              </w:rPr>
              <w:instrText xml:space="preserve"> PAGEREF _Toc149491253 \h </w:instrText>
            </w:r>
            <w:r w:rsidRPr="002A138F">
              <w:rPr>
                <w:webHidden/>
              </w:rPr>
            </w:r>
            <w:r w:rsidRPr="002A138F">
              <w:rPr>
                <w:webHidden/>
              </w:rPr>
              <w:fldChar w:fldCharType="separate"/>
            </w:r>
            <w:r w:rsidR="002A138F" w:rsidRPr="002A138F">
              <w:rPr>
                <w:webHidden/>
              </w:rPr>
              <w:t>200</w:t>
            </w:r>
            <w:r w:rsidRPr="002A138F">
              <w:rPr>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54" w:history="1">
            <w:r w:rsidR="002A138F" w:rsidRPr="002A138F">
              <w:rPr>
                <w:rStyle w:val="Collegamentoipertestuale"/>
                <w:b w:val="0"/>
              </w:rPr>
              <w:t>Algae Cultivator from SDGC (source) :</w:t>
            </w:r>
            <w:r w:rsidR="002A138F" w:rsidRPr="002A138F">
              <w:rPr>
                <w:b w:val="0"/>
                <w:webHidden/>
              </w:rPr>
              <w:tab/>
            </w:r>
            <w:r w:rsidRPr="002A138F">
              <w:rPr>
                <w:b w:val="0"/>
                <w:webHidden/>
              </w:rPr>
              <w:fldChar w:fldCharType="begin"/>
            </w:r>
            <w:r w:rsidR="002A138F" w:rsidRPr="002A138F">
              <w:rPr>
                <w:b w:val="0"/>
                <w:webHidden/>
              </w:rPr>
              <w:instrText xml:space="preserve"> PAGEREF _Toc149491254 \h </w:instrText>
            </w:r>
            <w:r w:rsidRPr="002A138F">
              <w:rPr>
                <w:b w:val="0"/>
                <w:webHidden/>
              </w:rPr>
            </w:r>
            <w:r w:rsidRPr="002A138F">
              <w:rPr>
                <w:b w:val="0"/>
                <w:webHidden/>
              </w:rPr>
              <w:fldChar w:fldCharType="separate"/>
            </w:r>
            <w:r w:rsidR="002A138F" w:rsidRPr="002A138F">
              <w:rPr>
                <w:b w:val="0"/>
                <w:webHidden/>
              </w:rPr>
              <w:t>201</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55" w:history="1">
            <w:r w:rsidR="002A138F" w:rsidRPr="002A138F">
              <w:rPr>
                <w:rStyle w:val="Collegamentoipertestuale"/>
                <w:b w:val="0"/>
              </w:rPr>
              <w:t>Summary – Applications (to SDGs)</w:t>
            </w:r>
            <w:r w:rsidR="002A138F" w:rsidRPr="002A138F">
              <w:rPr>
                <w:b w:val="0"/>
                <w:webHidden/>
              </w:rPr>
              <w:tab/>
            </w:r>
            <w:r w:rsidRPr="002A138F">
              <w:rPr>
                <w:b w:val="0"/>
                <w:webHidden/>
              </w:rPr>
              <w:fldChar w:fldCharType="begin"/>
            </w:r>
            <w:r w:rsidR="002A138F" w:rsidRPr="002A138F">
              <w:rPr>
                <w:b w:val="0"/>
                <w:webHidden/>
              </w:rPr>
              <w:instrText xml:space="preserve"> PAGEREF _Toc149491255 \h </w:instrText>
            </w:r>
            <w:r w:rsidRPr="002A138F">
              <w:rPr>
                <w:b w:val="0"/>
                <w:webHidden/>
              </w:rPr>
            </w:r>
            <w:r w:rsidRPr="002A138F">
              <w:rPr>
                <w:b w:val="0"/>
                <w:webHidden/>
              </w:rPr>
              <w:fldChar w:fldCharType="separate"/>
            </w:r>
            <w:r w:rsidR="002A138F" w:rsidRPr="002A138F">
              <w:rPr>
                <w:b w:val="0"/>
                <w:webHidden/>
              </w:rPr>
              <w:t>203</w:t>
            </w:r>
            <w:r w:rsidRPr="002A138F">
              <w:rPr>
                <w:b w:val="0"/>
                <w:webHidden/>
              </w:rPr>
              <w:fldChar w:fldCharType="end"/>
            </w:r>
          </w:hyperlink>
        </w:p>
        <w:p w:rsidR="002A138F" w:rsidRPr="002A138F" w:rsidRDefault="00562939">
          <w:pPr>
            <w:pStyle w:val="Sommario1"/>
            <w:rPr>
              <w:rFonts w:asciiTheme="minorHAnsi" w:eastAsiaTheme="minorEastAsia" w:hAnsiTheme="minorHAnsi" w:cstheme="minorBidi"/>
              <w:b w:val="0"/>
              <w:lang w:val="it-IT" w:eastAsia="it-IT"/>
            </w:rPr>
          </w:pPr>
          <w:hyperlink w:anchor="_Toc149491256" w:history="1">
            <w:r w:rsidR="002A138F" w:rsidRPr="002A138F">
              <w:rPr>
                <w:rStyle w:val="Collegamentoipertestuale"/>
                <w:b w:val="0"/>
              </w:rPr>
              <w:t>International Application Status Report</w:t>
            </w:r>
            <w:r w:rsidR="002A138F" w:rsidRPr="002A138F">
              <w:rPr>
                <w:b w:val="0"/>
                <w:webHidden/>
              </w:rPr>
              <w:tab/>
            </w:r>
            <w:r w:rsidRPr="002A138F">
              <w:rPr>
                <w:b w:val="0"/>
                <w:webHidden/>
              </w:rPr>
              <w:fldChar w:fldCharType="begin"/>
            </w:r>
            <w:r w:rsidR="002A138F" w:rsidRPr="002A138F">
              <w:rPr>
                <w:b w:val="0"/>
                <w:webHidden/>
              </w:rPr>
              <w:instrText xml:space="preserve"> PAGEREF _Toc149491256 \h </w:instrText>
            </w:r>
            <w:r w:rsidRPr="002A138F">
              <w:rPr>
                <w:b w:val="0"/>
                <w:webHidden/>
              </w:rPr>
            </w:r>
            <w:r w:rsidRPr="002A138F">
              <w:rPr>
                <w:b w:val="0"/>
                <w:webHidden/>
              </w:rPr>
              <w:fldChar w:fldCharType="separate"/>
            </w:r>
            <w:r w:rsidR="002A138F" w:rsidRPr="002A138F">
              <w:rPr>
                <w:b w:val="0"/>
                <w:webHidden/>
              </w:rPr>
              <w:t>209</w:t>
            </w:r>
            <w:r w:rsidRPr="002A138F">
              <w:rPr>
                <w:b w:val="0"/>
                <w:webHidden/>
              </w:rPr>
              <w:fldChar w:fldCharType="end"/>
            </w:r>
          </w:hyperlink>
        </w:p>
        <w:p w:rsidR="00557436" w:rsidRPr="00842337" w:rsidRDefault="00562939" w:rsidP="00557436">
          <w:pPr>
            <w:jc w:val="both"/>
            <w:rPr>
              <w:rFonts w:ascii="Times New Roman" w:hAnsi="Times New Roman" w:cs="Times New Roman"/>
              <w:sz w:val="24"/>
              <w:szCs w:val="24"/>
            </w:rPr>
          </w:pPr>
          <w:r w:rsidRPr="00967B9B">
            <w:rPr>
              <w:rFonts w:ascii="Times New Roman" w:hAnsi="Times New Roman" w:cs="Times New Roman"/>
              <w:sz w:val="24"/>
              <w:szCs w:val="24"/>
            </w:rPr>
            <w:fldChar w:fldCharType="end"/>
          </w:r>
        </w:p>
      </w:sdtContent>
    </w:sdt>
    <w:p w:rsidR="005D5B77" w:rsidRPr="00842337" w:rsidRDefault="005D5B77">
      <w:pPr>
        <w:rPr>
          <w:rFonts w:ascii="Times New Roman" w:hAnsi="Times New Roman" w:cs="Times New Roman"/>
          <w:sz w:val="24"/>
          <w:szCs w:val="24"/>
        </w:rPr>
      </w:pPr>
      <w:r w:rsidRPr="00842337">
        <w:rPr>
          <w:rFonts w:ascii="Times New Roman" w:hAnsi="Times New Roman" w:cs="Times New Roman"/>
          <w:sz w:val="24"/>
          <w:szCs w:val="24"/>
        </w:rPr>
        <w:br w:type="page"/>
      </w:r>
    </w:p>
    <w:p w:rsidR="005D5B77" w:rsidRPr="00E06770" w:rsidRDefault="005D5B77" w:rsidP="00967B9B">
      <w:pPr>
        <w:pStyle w:val="Titolo1"/>
        <w:rPr>
          <w:szCs w:val="24"/>
          <w:lang w:val="en-US"/>
        </w:rPr>
      </w:pPr>
      <w:bookmarkStart w:id="0" w:name="_Toc148257756"/>
      <w:bookmarkStart w:id="1" w:name="_Toc149491213"/>
      <w:r w:rsidRPr="00E06770">
        <w:rPr>
          <w:szCs w:val="24"/>
          <w:lang w:val="en-US"/>
        </w:rPr>
        <w:lastRenderedPageBreak/>
        <w:t>Table of Contents</w:t>
      </w:r>
      <w:bookmarkEnd w:id="0"/>
      <w:bookmarkEnd w:id="1"/>
    </w:p>
    <w:p w:rsidR="004A0B27" w:rsidRPr="00E06770" w:rsidRDefault="004A0B27" w:rsidP="004A0B27">
      <w:pPr>
        <w:rPr>
          <w:lang w:val="en-US"/>
        </w:rPr>
      </w:pPr>
    </w:p>
    <w:p w:rsidR="005D5B77" w:rsidRPr="002A138F" w:rsidRDefault="004A0B27" w:rsidP="004A0B27">
      <w:pPr>
        <w:rPr>
          <w:lang w:val="en-US"/>
        </w:rPr>
      </w:pPr>
      <w:r w:rsidRPr="002A138F">
        <w:rPr>
          <w:lang w:val="en-US"/>
        </w:rPr>
        <w:t xml:space="preserve">Cahapter 1: </w:t>
      </w:r>
      <w:r w:rsidR="005D5B77" w:rsidRPr="002A138F">
        <w:rPr>
          <w:lang w:val="en-US"/>
        </w:rPr>
        <w:t>A World in Crisis</w:t>
      </w:r>
    </w:p>
    <w:p w:rsidR="005D5B77" w:rsidRPr="00842337" w:rsidRDefault="005D5B77" w:rsidP="005D5B77">
      <w:pPr>
        <w:numPr>
          <w:ilvl w:val="0"/>
          <w:numId w:val="1"/>
        </w:numPr>
        <w:spacing w:after="160"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state of Pakistan's energy crisis</w:t>
      </w:r>
    </w:p>
    <w:p w:rsidR="005D5B77" w:rsidRPr="00842337" w:rsidRDefault="005D5B77" w:rsidP="005D5B77">
      <w:pPr>
        <w:numPr>
          <w:ilvl w:val="0"/>
          <w:numId w:val="1"/>
        </w:numPr>
        <w:spacing w:after="160" w:line="360" w:lineRule="auto"/>
        <w:jc w:val="both"/>
        <w:rPr>
          <w:rFonts w:ascii="Times New Roman" w:hAnsi="Times New Roman" w:cs="Times New Roman"/>
          <w:b/>
          <w:szCs w:val="24"/>
        </w:rPr>
      </w:pPr>
      <w:r w:rsidRPr="00842337">
        <w:rPr>
          <w:rFonts w:ascii="Times New Roman" w:hAnsi="Times New Roman" w:cs="Times New Roman"/>
          <w:szCs w:val="24"/>
        </w:rPr>
        <w:t>Environmental impact of fossil fuels</w:t>
      </w:r>
    </w:p>
    <w:p w:rsidR="005D5B77" w:rsidRPr="00842337" w:rsidRDefault="005D5B77" w:rsidP="005D5B77">
      <w:pPr>
        <w:numPr>
          <w:ilvl w:val="0"/>
          <w:numId w:val="1"/>
        </w:numPr>
        <w:spacing w:after="160" w:line="360" w:lineRule="auto"/>
        <w:jc w:val="both"/>
        <w:rPr>
          <w:rFonts w:ascii="Times New Roman" w:hAnsi="Times New Roman" w:cs="Times New Roman"/>
          <w:b/>
          <w:szCs w:val="24"/>
        </w:rPr>
      </w:pPr>
      <w:r w:rsidRPr="00842337">
        <w:rPr>
          <w:rFonts w:ascii="Times New Roman" w:hAnsi="Times New Roman" w:cs="Times New Roman"/>
          <w:szCs w:val="24"/>
        </w:rPr>
        <w:t>The need for sustainable solutions</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2: A Magical Discovery</w:t>
      </w:r>
    </w:p>
    <w:p w:rsidR="005D5B77" w:rsidRPr="00842337" w:rsidRDefault="005D5B77" w:rsidP="005D5B77">
      <w:pPr>
        <w:numPr>
          <w:ilvl w:val="0"/>
          <w:numId w:val="2"/>
        </w:numPr>
        <w:spacing w:after="160"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Introduction to Dr. Amina and her lab</w:t>
      </w:r>
    </w:p>
    <w:p w:rsidR="005D5B77" w:rsidRPr="00842337" w:rsidRDefault="005D5B77" w:rsidP="005D5B77">
      <w:pPr>
        <w:numPr>
          <w:ilvl w:val="0"/>
          <w:numId w:val="2"/>
        </w:numPr>
        <w:spacing w:after="160"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accidental discovery of microalgae's potential</w:t>
      </w:r>
    </w:p>
    <w:p w:rsidR="005D5B77" w:rsidRPr="00842337" w:rsidRDefault="005D5B77" w:rsidP="005D5B77">
      <w:pPr>
        <w:numPr>
          <w:ilvl w:val="0"/>
          <w:numId w:val="2"/>
        </w:numPr>
        <w:spacing w:after="160"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PBRC (Photo Bio Reactor Continuous) technology</w:t>
      </w:r>
    </w:p>
    <w:p w:rsidR="005D5B77" w:rsidRPr="00842337" w:rsidRDefault="005D5B77" w:rsidP="005D5B77">
      <w:pPr>
        <w:spacing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Chapter 3: The Birth of a Dream</w:t>
      </w:r>
    </w:p>
    <w:p w:rsidR="005D5B77" w:rsidRPr="00842337" w:rsidRDefault="005D5B77" w:rsidP="005D5B77">
      <w:pPr>
        <w:numPr>
          <w:ilvl w:val="0"/>
          <w:numId w:val="3"/>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Dr. Amina's vision for Pakistan's energy future</w:t>
      </w:r>
    </w:p>
    <w:p w:rsidR="005D5B77" w:rsidRPr="00842337" w:rsidRDefault="005D5B77" w:rsidP="005D5B77">
      <w:pPr>
        <w:numPr>
          <w:ilvl w:val="0"/>
          <w:numId w:val="3"/>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The role of microalgae in renewable energy</w:t>
      </w:r>
    </w:p>
    <w:p w:rsidR="005D5B77" w:rsidRPr="00842337" w:rsidRDefault="005D5B77" w:rsidP="005D5B77">
      <w:pPr>
        <w:numPr>
          <w:ilvl w:val="0"/>
          <w:numId w:val="3"/>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The dream of a green and energy-independent nation</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4: Gathering Allies</w:t>
      </w:r>
    </w:p>
    <w:p w:rsidR="005D5B77" w:rsidRPr="00842337" w:rsidRDefault="005D5B77" w:rsidP="005D5B77">
      <w:pPr>
        <w:numPr>
          <w:ilvl w:val="0"/>
          <w:numId w:val="4"/>
        </w:numPr>
        <w:spacing w:after="160" w:line="360" w:lineRule="auto"/>
        <w:jc w:val="both"/>
        <w:rPr>
          <w:rFonts w:ascii="Times New Roman" w:hAnsi="Times New Roman" w:cs="Times New Roman"/>
          <w:b/>
          <w:bCs/>
          <w:szCs w:val="24"/>
        </w:rPr>
      </w:pPr>
      <w:r w:rsidRPr="00842337">
        <w:rPr>
          <w:rFonts w:ascii="Times New Roman" w:hAnsi="Times New Roman" w:cs="Times New Roman"/>
          <w:bCs/>
          <w:szCs w:val="24"/>
        </w:rPr>
        <w:t>The importance of collaboration</w:t>
      </w:r>
    </w:p>
    <w:p w:rsidR="005D5B77" w:rsidRPr="00842337" w:rsidRDefault="005D5B77" w:rsidP="005D5B77">
      <w:pPr>
        <w:numPr>
          <w:ilvl w:val="0"/>
          <w:numId w:val="4"/>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lastRenderedPageBreak/>
        <w:t>Introduction to Ali, a passionate engineer</w:t>
      </w:r>
    </w:p>
    <w:p w:rsidR="005D5B77" w:rsidRPr="00842337" w:rsidRDefault="005D5B77" w:rsidP="005D5B77">
      <w:pPr>
        <w:numPr>
          <w:ilvl w:val="0"/>
          <w:numId w:val="4"/>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Formation of the Green Energy Initiative</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5: The Grand Experiment</w:t>
      </w:r>
    </w:p>
    <w:p w:rsidR="005D5B77" w:rsidRPr="00842337" w:rsidRDefault="005D5B77" w:rsidP="005D5B77">
      <w:pPr>
        <w:numPr>
          <w:ilvl w:val="0"/>
          <w:numId w:val="5"/>
        </w:numPr>
        <w:spacing w:after="160" w:line="360" w:lineRule="auto"/>
        <w:jc w:val="both"/>
        <w:rPr>
          <w:rFonts w:ascii="Times New Roman" w:hAnsi="Times New Roman" w:cs="Times New Roman"/>
          <w:b/>
          <w:bCs/>
          <w:szCs w:val="24"/>
        </w:rPr>
      </w:pPr>
      <w:r w:rsidRPr="00842337">
        <w:rPr>
          <w:rFonts w:ascii="Times New Roman" w:hAnsi="Times New Roman" w:cs="Times New Roman"/>
          <w:bCs/>
          <w:szCs w:val="24"/>
        </w:rPr>
        <w:t>Selecting the experiment location</w:t>
      </w:r>
    </w:p>
    <w:p w:rsidR="005D5B77" w:rsidRPr="00842337" w:rsidRDefault="005D5B77" w:rsidP="005D5B77">
      <w:pPr>
        <w:numPr>
          <w:ilvl w:val="0"/>
          <w:numId w:val="5"/>
        </w:numPr>
        <w:spacing w:after="160" w:line="360" w:lineRule="auto"/>
        <w:jc w:val="both"/>
        <w:rPr>
          <w:rFonts w:ascii="Times New Roman" w:hAnsi="Times New Roman" w:cs="Times New Roman"/>
          <w:b/>
          <w:bCs/>
          <w:szCs w:val="24"/>
        </w:rPr>
      </w:pPr>
      <w:r w:rsidRPr="00842337">
        <w:rPr>
          <w:rFonts w:ascii="Times New Roman" w:hAnsi="Times New Roman" w:cs="Times New Roman"/>
          <w:bCs/>
          <w:szCs w:val="24"/>
        </w:rPr>
        <w:t>Building the PBRC facility</w:t>
      </w:r>
    </w:p>
    <w:p w:rsidR="005D5B77" w:rsidRPr="00842337" w:rsidRDefault="005D5B77" w:rsidP="005D5B77">
      <w:pPr>
        <w:numPr>
          <w:ilvl w:val="0"/>
          <w:numId w:val="5"/>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Cultivating microalgae on a large scale</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6: A Country Transformed</w:t>
      </w:r>
    </w:p>
    <w:p w:rsidR="005D5B77" w:rsidRPr="00842337" w:rsidRDefault="005D5B77" w:rsidP="005D5B77">
      <w:pPr>
        <w:numPr>
          <w:ilvl w:val="0"/>
          <w:numId w:val="6"/>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Exceeding expectations in clean energy production</w:t>
      </w:r>
    </w:p>
    <w:p w:rsidR="005D5B77" w:rsidRPr="00842337" w:rsidRDefault="005D5B77" w:rsidP="005D5B77">
      <w:pPr>
        <w:numPr>
          <w:ilvl w:val="0"/>
          <w:numId w:val="6"/>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Carbon dioxide absorption and its environmental impact</w:t>
      </w:r>
    </w:p>
    <w:p w:rsidR="005D5B77" w:rsidRPr="00842337" w:rsidRDefault="005D5B77" w:rsidP="005D5B77">
      <w:pPr>
        <w:numPr>
          <w:ilvl w:val="0"/>
          <w:numId w:val="6"/>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The gradual alleviation of Pakistan's energy crisis</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7: A Sustainable Pakistan</w:t>
      </w:r>
    </w:p>
    <w:p w:rsidR="005D5B77" w:rsidRPr="00842337" w:rsidRDefault="005D5B77" w:rsidP="005D5B77">
      <w:pPr>
        <w:numPr>
          <w:ilvl w:val="0"/>
          <w:numId w:val="7"/>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Government support for the Green Energy Initiative</w:t>
      </w:r>
    </w:p>
    <w:p w:rsidR="005D5B77" w:rsidRPr="00842337" w:rsidRDefault="005D5B77" w:rsidP="005D5B77">
      <w:pPr>
        <w:numPr>
          <w:ilvl w:val="0"/>
          <w:numId w:val="7"/>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Expansion of microalgae fields across the nation</w:t>
      </w:r>
    </w:p>
    <w:p w:rsidR="005D5B77" w:rsidRPr="00842337" w:rsidRDefault="005D5B77" w:rsidP="005D5B77">
      <w:pPr>
        <w:numPr>
          <w:ilvl w:val="0"/>
          <w:numId w:val="7"/>
        </w:numPr>
        <w:spacing w:after="160" w:line="360" w:lineRule="auto"/>
        <w:jc w:val="both"/>
        <w:rPr>
          <w:rFonts w:ascii="Times New Roman" w:hAnsi="Times New Roman" w:cs="Times New Roman"/>
          <w:b/>
          <w:bCs/>
          <w:szCs w:val="24"/>
        </w:rPr>
      </w:pPr>
      <w:r w:rsidRPr="00842337">
        <w:rPr>
          <w:rFonts w:ascii="Times New Roman" w:hAnsi="Times New Roman" w:cs="Times New Roman"/>
          <w:bCs/>
          <w:szCs w:val="24"/>
        </w:rPr>
        <w:t>Reducing reliance on fossil fuels</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8: A New Hope</w:t>
      </w:r>
    </w:p>
    <w:p w:rsidR="005D5B77" w:rsidRPr="00842337" w:rsidRDefault="005D5B77" w:rsidP="005D5B77">
      <w:pPr>
        <w:numPr>
          <w:ilvl w:val="0"/>
          <w:numId w:val="8"/>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lastRenderedPageBreak/>
        <w:t>Improved quality of life for the people of Pakistan</w:t>
      </w:r>
    </w:p>
    <w:p w:rsidR="005D5B77" w:rsidRPr="00842337" w:rsidRDefault="005D5B77" w:rsidP="005D5B77">
      <w:pPr>
        <w:numPr>
          <w:ilvl w:val="0"/>
          <w:numId w:val="8"/>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The worldwide impact of Pakistan's success</w:t>
      </w:r>
    </w:p>
    <w:p w:rsidR="005D5B77" w:rsidRPr="00842337" w:rsidRDefault="005D5B77" w:rsidP="005D5B77">
      <w:pPr>
        <w:numPr>
          <w:ilvl w:val="0"/>
          <w:numId w:val="8"/>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Hope in the face of global environmental challenges</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9: The Legacy</w:t>
      </w:r>
    </w:p>
    <w:p w:rsidR="005D5B77" w:rsidRPr="00842337" w:rsidRDefault="005D5B77" w:rsidP="005D5B77">
      <w:pPr>
        <w:numPr>
          <w:ilvl w:val="0"/>
          <w:numId w:val="9"/>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Celebration of Dr. Amina and Ali as national heroes</w:t>
      </w:r>
    </w:p>
    <w:p w:rsidR="005D5B77" w:rsidRPr="00842337" w:rsidRDefault="005D5B77" w:rsidP="005D5B77">
      <w:pPr>
        <w:numPr>
          <w:ilvl w:val="0"/>
          <w:numId w:val="9"/>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Ongoing efforts to enhance microalgae technology</w:t>
      </w:r>
    </w:p>
    <w:p w:rsidR="005D5B77" w:rsidRPr="00842337" w:rsidRDefault="005D5B77" w:rsidP="005D5B77">
      <w:pPr>
        <w:numPr>
          <w:ilvl w:val="0"/>
          <w:numId w:val="9"/>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The journey from crisis to triumph</w:t>
      </w:r>
    </w:p>
    <w:p w:rsidR="005D5B77" w:rsidRPr="00842337" w:rsidRDefault="005D5B77" w:rsidP="005D5B77">
      <w:pPr>
        <w:spacing w:line="360" w:lineRule="auto"/>
        <w:jc w:val="both"/>
        <w:rPr>
          <w:rFonts w:ascii="Times New Roman" w:hAnsi="Times New Roman" w:cs="Times New Roman"/>
          <w:b/>
          <w:bCs/>
          <w:szCs w:val="24"/>
        </w:rPr>
      </w:pPr>
      <w:r w:rsidRPr="00842337">
        <w:rPr>
          <w:rFonts w:ascii="Times New Roman" w:hAnsi="Times New Roman" w:cs="Times New Roman"/>
          <w:bCs/>
          <w:szCs w:val="24"/>
        </w:rPr>
        <w:t>Chapter 10: The Future</w:t>
      </w:r>
    </w:p>
    <w:p w:rsidR="005D5B77" w:rsidRPr="00842337" w:rsidRDefault="005D5B77" w:rsidP="005D5B77">
      <w:pPr>
        <w:numPr>
          <w:ilvl w:val="0"/>
          <w:numId w:val="10"/>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Sustainable energy as a beacon of hope</w:t>
      </w:r>
    </w:p>
    <w:p w:rsidR="005D5B77" w:rsidRPr="00842337" w:rsidRDefault="005D5B77" w:rsidP="005D5B77">
      <w:pPr>
        <w:numPr>
          <w:ilvl w:val="0"/>
          <w:numId w:val="10"/>
        </w:numPr>
        <w:spacing w:after="160" w:line="360" w:lineRule="auto"/>
        <w:jc w:val="both"/>
        <w:rPr>
          <w:rFonts w:ascii="Times New Roman" w:hAnsi="Times New Roman" w:cs="Times New Roman"/>
          <w:b/>
          <w:bCs/>
          <w:szCs w:val="24"/>
          <w:lang w:val="en-US"/>
        </w:rPr>
      </w:pPr>
      <w:r w:rsidRPr="00842337">
        <w:rPr>
          <w:rFonts w:ascii="Times New Roman" w:hAnsi="Times New Roman" w:cs="Times New Roman"/>
          <w:bCs/>
          <w:szCs w:val="24"/>
          <w:lang w:val="en-US"/>
        </w:rPr>
        <w:t>The world's inspiration to follow Pakistan's path</w:t>
      </w:r>
    </w:p>
    <w:p w:rsidR="005D5B77" w:rsidRPr="00842337" w:rsidRDefault="005D5B77" w:rsidP="005D5B77">
      <w:pPr>
        <w:numPr>
          <w:ilvl w:val="0"/>
          <w:numId w:val="10"/>
        </w:numPr>
        <w:spacing w:after="160" w:line="360" w:lineRule="auto"/>
        <w:jc w:val="both"/>
        <w:rPr>
          <w:rFonts w:ascii="Times New Roman" w:hAnsi="Times New Roman" w:cs="Times New Roman"/>
          <w:b/>
          <w:bCs/>
          <w:szCs w:val="24"/>
        </w:rPr>
      </w:pPr>
      <w:r w:rsidRPr="00842337">
        <w:rPr>
          <w:rFonts w:ascii="Times New Roman" w:hAnsi="Times New Roman" w:cs="Times New Roman"/>
          <w:bCs/>
          <w:szCs w:val="24"/>
        </w:rPr>
        <w:t>A new era of sustainability</w:t>
      </w:r>
    </w:p>
    <w:p w:rsidR="005D5B77" w:rsidRPr="00842337" w:rsidRDefault="005D5B77" w:rsidP="005D5B77">
      <w:pPr>
        <w:jc w:val="both"/>
        <w:rPr>
          <w:rFonts w:ascii="Times New Roman" w:hAnsi="Times New Roman" w:cs="Times New Roman"/>
          <w:b/>
          <w:bCs/>
          <w:szCs w:val="24"/>
        </w:rPr>
      </w:pPr>
      <w:r w:rsidRPr="00842337">
        <w:rPr>
          <w:rFonts w:ascii="Times New Roman" w:hAnsi="Times New Roman" w:cs="Times New Roman"/>
          <w:bCs/>
          <w:szCs w:val="24"/>
        </w:rPr>
        <w:br w:type="page"/>
      </w:r>
    </w:p>
    <w:p w:rsidR="005D5B77" w:rsidRPr="004A54FD" w:rsidRDefault="005D5B77" w:rsidP="004A54FD">
      <w:pPr>
        <w:pStyle w:val="Titolo1"/>
        <w:rPr>
          <w:szCs w:val="22"/>
          <w:lang w:val="en-US"/>
        </w:rPr>
      </w:pPr>
      <w:bookmarkStart w:id="2" w:name="_Toc148257757"/>
      <w:bookmarkStart w:id="3" w:name="_Toc149491214"/>
      <w:r w:rsidRPr="00842337">
        <w:lastRenderedPageBreak/>
        <w:t>A World in Crisis</w:t>
      </w:r>
      <w:bookmarkEnd w:id="2"/>
      <w:bookmarkEnd w:id="3"/>
    </w:p>
    <w:p w:rsidR="005D5B77" w:rsidRPr="00842337" w:rsidRDefault="005D5B77" w:rsidP="005D5B77">
      <w:pPr>
        <w:pStyle w:val="Corpodeltesto"/>
        <w:rPr>
          <w:lang w:eastAsia="en-US"/>
        </w:rPr>
      </w:pPr>
    </w:p>
    <w:p w:rsidR="005D5B77" w:rsidRPr="00842337" w:rsidRDefault="005D5B77" w:rsidP="005D5B77">
      <w:pPr>
        <w:pStyle w:val="Corpodeltesto"/>
        <w:rPr>
          <w:b/>
          <w:lang w:val="en-US" w:eastAsia="en-US"/>
        </w:rPr>
      </w:pPr>
    </w:p>
    <w:p w:rsidR="005D5B77" w:rsidRPr="00842337" w:rsidRDefault="005D5B77" w:rsidP="005D5B77">
      <w:pPr>
        <w:jc w:val="both"/>
        <w:rPr>
          <w:rFonts w:ascii="Times New Roman" w:hAnsi="Times New Roman" w:cs="Times New Roman"/>
          <w:b/>
          <w:lang w:val="en-US"/>
        </w:rPr>
      </w:pPr>
      <w:r w:rsidRPr="00842337">
        <w:rPr>
          <w:rFonts w:ascii="Times New Roman" w:hAnsi="Times New Roman" w:cs="Times New Roman"/>
          <w:lang w:val="en-US"/>
        </w:rPr>
        <w:t>In a not-so-distant future, Pakistan found itself in the grip of an energy crisis that had far-reaching consequences. Power outages plagued the nation, turning everyday life into a perpetual battle against darkness and discomfort. The erratic availability of electricity disrupted businesses, schools, and the lives of ordinary citizens.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But the energy crisis wasn't just about flickering lights and the inconvenience of not being able to operate household appliances. It was a multifaceted problem with grave implications. Pakistan's energy demands were surging with its rapidly growing population, and the nation's ability to meet those demands was dwindling. The situation was exacerbated by the fact that Pakistan primarily relied on fossil fuels for its energy needs, a practice that had detrimental effects on both the environment and the economy.</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air was thick with pollution, and the consequences of climate change were already making themselves felt. Extreme weather events, rising temperatures, and unpredictable monsoons were becoming increasingly common. The environment was suffering, and so were the people.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The energy crisis had pushed Pakistan to a crossroads, and the choices made in these trying times would shape the nation's future. Would Pakistan continue to depend on finite and polluting resources, exacerbating the environmental crisis, or would it seek innovative solutions that could not only provide sustainable energy but also help heal the environment?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we dive into this story, we find a nation in the throes of uncertainty, where daily life is marked by the relentless struggle for power, both literally and metaphorically. But amidst this gloom, an unexpected source of hope emerges, a beacon of light in the darkness – a discovery that would change the course of Pakistan's energy landscape forever.</w:t>
      </w:r>
      <w:r w:rsidRPr="00842337">
        <w:rPr>
          <w:rFonts w:ascii="Times New Roman" w:hAnsi="Times New Roman" w:cs="Times New Roman"/>
          <w:szCs w:val="24"/>
          <w:lang w:val="en-US"/>
        </w:rPr>
        <w:br w:type="page"/>
      </w:r>
    </w:p>
    <w:p w:rsidR="005D5B77" w:rsidRPr="00842337" w:rsidRDefault="005D5B77" w:rsidP="005D5B77">
      <w:pPr>
        <w:pStyle w:val="Titolo1"/>
        <w:rPr>
          <w:rFonts w:ascii="Times New Roman" w:hAnsi="Times New Roman" w:cs="Times New Roman"/>
          <w:szCs w:val="24"/>
          <w:lang w:val="en-US"/>
        </w:rPr>
      </w:pPr>
      <w:bookmarkStart w:id="4" w:name="_Toc148257758"/>
      <w:bookmarkStart w:id="5" w:name="_Toc149491215"/>
      <w:r w:rsidRPr="00842337">
        <w:rPr>
          <w:rFonts w:ascii="Times New Roman" w:hAnsi="Times New Roman" w:cs="Times New Roman"/>
          <w:szCs w:val="24"/>
          <w:lang w:val="en-US"/>
        </w:rPr>
        <w:lastRenderedPageBreak/>
        <w:t>A Magical Discovery</w:t>
      </w:r>
      <w:bookmarkEnd w:id="4"/>
      <w:bookmarkEnd w:id="5"/>
    </w:p>
    <w:p w:rsidR="005D5B77" w:rsidRPr="00842337" w:rsidRDefault="005D5B77" w:rsidP="005D5B77">
      <w:pPr>
        <w:pStyle w:val="Corpodeltesto"/>
        <w:rPr>
          <w:lang w:val="en-US" w:eastAsia="en-US"/>
        </w:rPr>
      </w:pPr>
    </w:p>
    <w:p w:rsidR="005D5B77" w:rsidRPr="00842337" w:rsidRDefault="005D5B77" w:rsidP="005D5B77">
      <w:pPr>
        <w:pStyle w:val="Corpodeltesto"/>
        <w:rPr>
          <w:b/>
          <w:lang w:val="en-US" w:eastAsia="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In the heart of Pakistan, nestled within the serene village of Greenville, lived a remarkable scientist named Dr. Amina. She was a visionary, deeply committed to finding innovative and sustainable solutions to Pakistan's growing energy crisis. Dr. Amina's modest but well-equipped laboratory was her sanctuary, where she spent countless hours experimenting, researching, and dreaming of a brighter future for her nation.</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One sunny morning, as Dr. Amina meticulously observed her latest batch of experiments, she stumbled upon something truly extraordinary. For months, she had been focusing her research on microalgae, those tiny aquatic organisms known for their remarkable ability to photosynthesize and produce oxygen. Dr. Amina's work with microalgae was not merely academic; it was a fervent exploration of their untapped potential.</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 xml:space="preserve">Through her dedication and unyielding curiosity, Dr. Amina had come to understand the nuances of microalgae, and their ability to thrive and adapt in a variety of conditions. What truly amazed her was their remarkable photosynthetic capacity and their potential for producing biofuels and clean energy. But she </w:t>
      </w:r>
      <w:r w:rsidRPr="00842337">
        <w:rPr>
          <w:rFonts w:ascii="Times New Roman" w:hAnsi="Times New Roman" w:cs="Times New Roman"/>
          <w:szCs w:val="24"/>
          <w:lang w:val="en-US"/>
        </w:rPr>
        <w:lastRenderedPageBreak/>
        <w:t>had a secret weapon in her laboratory: a patented technology known as the PBRC or Photo Bio Reactor Continuous.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PBRC was a marvel of engineering and biological science, a sophisticated system that allowed for the controlled growth of microalgae on a large scale. Dr. Amina acquired the PBRC technology through her extensive network of connections and her tireless efforts to stay ahead in the world of sustainable energy research.</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One fateful day, as she fine-tuned the parameters in her lab, she noticed something extraordinary. The microalgae, when subjected to precisely controlled conditions of sunlight and nourishment, exhibited an astonishing capacity to produce biofuels and clean energy at an unprecedented rate. It was as if they held the key to a boundless and magical source of power.</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Dr. Amina was overwhelmed with excitement. She had discovered something that held the potential to transform Pakistan's energy landscape. She realized that the answer to the nation's energy crisis might lie in the miraculous powers of these tiny organisms.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At that moment, she knew she was standing at the threshold of a new era. The humble microalgae, with their incredible capacity for photosynthesis and energy production, had the potential to become the linchpin of a revolution. Dr. Amina envisioned vast landscapes of these microorganisms, spread across Pakistan's barren lands, capturing carbon dioxide from the atmosphere, producing renewable energy, and ushering in an era of green, sustainable power.</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2 marked the birth of a dream – a dream of turning Pakistan into a nation that harnessed the power of microalgae and the PBRC technology to conquer its energy crisis and reduce its carbon footprint. Dr. Amina's vision was one of hope and transformation, and it would require determination, collaboration, and innovation to bring it to life.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br w:type="page"/>
      </w:r>
    </w:p>
    <w:p w:rsidR="005D5B77" w:rsidRPr="00842337" w:rsidRDefault="005D5B77" w:rsidP="005D5B77">
      <w:pPr>
        <w:pStyle w:val="Titolo1"/>
        <w:rPr>
          <w:rFonts w:ascii="Times New Roman" w:hAnsi="Times New Roman" w:cs="Times New Roman"/>
          <w:szCs w:val="24"/>
          <w:lang w:val="en-US"/>
        </w:rPr>
      </w:pPr>
      <w:bookmarkStart w:id="6" w:name="_Toc148257759"/>
      <w:bookmarkStart w:id="7" w:name="_Toc149491216"/>
      <w:r w:rsidRPr="00842337">
        <w:rPr>
          <w:rFonts w:ascii="Times New Roman" w:hAnsi="Times New Roman" w:cs="Times New Roman"/>
          <w:szCs w:val="24"/>
          <w:lang w:val="en-US"/>
        </w:rPr>
        <w:lastRenderedPageBreak/>
        <w:t>The Birth of a Dream</w:t>
      </w:r>
      <w:bookmarkEnd w:id="6"/>
      <w:bookmarkEnd w:id="7"/>
    </w:p>
    <w:p w:rsidR="005D5B77" w:rsidRPr="00842337" w:rsidRDefault="005D5B77" w:rsidP="005D5B77">
      <w:pPr>
        <w:pStyle w:val="Corpodeltesto"/>
        <w:rPr>
          <w:lang w:val="en-US" w:eastAsia="en-US"/>
        </w:rPr>
      </w:pPr>
    </w:p>
    <w:p w:rsidR="005D5B77" w:rsidRPr="00842337" w:rsidRDefault="005D5B77" w:rsidP="005D5B77">
      <w:pPr>
        <w:pStyle w:val="Corpodeltesto"/>
        <w:rPr>
          <w:b/>
          <w:lang w:val="en-US" w:eastAsia="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Dr. Amina's laboratory, nestled in the tranquil village of Greenville, had now become the birthplace of a revolutionary dream. Her discovery of the incredible potential of microalgae, coupled with the innovative PBRC technology, filled her with a renewed sense of purpose.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Dr. Amina, a scientist with a heart for her homeland, envisioned a future where Pakistan would stand as a beacon of sustainability, free from the shackles of energy crises and the detrimental impacts of fossil fuels. She believed that the path to this dream lay in the humble microalgae and their remarkable capacity to produce clean energy.</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Dr. Amina meticulously planned the roadmap for her vision, she knew she couldn't walk this path alone. The enormity of the challenge required a collective effort, a collaborative movement that brought together individuals, scientists, environmentalists, and government officials who shared her dream.</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 xml:space="preserve">Thus, she set out on a journey to gather allies, spread the message of sustainability, and inspire others to join her in </w:t>
      </w:r>
      <w:r w:rsidRPr="00842337">
        <w:rPr>
          <w:rFonts w:ascii="Times New Roman" w:hAnsi="Times New Roman" w:cs="Times New Roman"/>
          <w:szCs w:val="24"/>
          <w:lang w:val="en-US"/>
        </w:rPr>
        <w:lastRenderedPageBreak/>
        <w:t>realizing the dream of a greener, energy-independent Pakistan. She believed that collaboration and shared purpose would be the driving force behind the success of the project.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It was during one of her passionate presentations at a sustainability conference that she met Ali, a young and dynamic engineer who shared her vision. Ali was a tech-savvy individual with a deep love for his country and a desire to make a real impact. He was inspired by Dr. Amina's vision and believed that it was not only feasible but also necessary for Pakistan's future.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Their encounter marked a pivotal moment in the story. Dr. Amina and Ali joined forces, merging her scientific expertise with his engineering skills. Together, they founded the Green Energy Initiative, a movement aimed at harnessing the potential of microalgae to address Pakistan's energy crisis and transition the nation into a sustainable future.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Green Energy Initiative rapidly gained momentum, drawing in individuals from all walks of life who shared the dream of a greener Pakistan. The movement was a testament to the power of a shared vision, and it became a symbol of hope and determination in a country that was yearning for change.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Chapter 3 was not only about the birth of a dream but also about the birth of a movement, an alliance of passionate individuals determined to take on the monumental task of transforming Pakistan into a green and energy-independent nation. Dr. Amina and Ali's journey had only just begun, but their vision and the power of collaboration were strong enough to light the way forward.</w:t>
      </w:r>
    </w:p>
    <w:p w:rsidR="005D5B77" w:rsidRPr="00842337" w:rsidRDefault="005D5B77" w:rsidP="005D5B77">
      <w:pPr>
        <w:spacing w:line="360" w:lineRule="auto"/>
        <w:jc w:val="both"/>
        <w:rPr>
          <w:rFonts w:ascii="Times New Roman" w:hAnsi="Times New Roman" w:cs="Times New Roman"/>
          <w:b/>
          <w:szCs w:val="24"/>
          <w:lang w:val="en-US"/>
        </w:rPr>
      </w:pPr>
    </w:p>
    <w:p w:rsidR="005D5B77" w:rsidRPr="00842337" w:rsidRDefault="005D5B77" w:rsidP="005D5B77">
      <w:pPr>
        <w:spacing w:line="360" w:lineRule="auto"/>
        <w:jc w:val="both"/>
        <w:rPr>
          <w:rFonts w:ascii="Times New Roman" w:hAnsi="Times New Roman" w:cs="Times New Roman"/>
          <w:b/>
          <w:lang w:val="en-US"/>
        </w:rPr>
      </w:pPr>
      <w:r w:rsidRPr="00842337">
        <w:rPr>
          <w:rFonts w:ascii="Times New Roman" w:hAnsi="Times New Roman" w:cs="Times New Roman"/>
          <w:szCs w:val="24"/>
          <w:lang w:val="en-US"/>
        </w:rPr>
        <w:br w:type="page"/>
      </w:r>
    </w:p>
    <w:p w:rsidR="005D5B77" w:rsidRPr="00842337" w:rsidRDefault="005D5B77" w:rsidP="005D5B77">
      <w:pPr>
        <w:pStyle w:val="Titolo1"/>
        <w:rPr>
          <w:rFonts w:ascii="Times New Roman" w:hAnsi="Times New Roman" w:cs="Times New Roman"/>
          <w:szCs w:val="24"/>
          <w:lang w:val="en-US"/>
        </w:rPr>
      </w:pPr>
      <w:bookmarkStart w:id="8" w:name="_Toc148257760"/>
      <w:bookmarkStart w:id="9" w:name="_Toc149491217"/>
      <w:r w:rsidRPr="00842337">
        <w:rPr>
          <w:rFonts w:ascii="Times New Roman" w:hAnsi="Times New Roman" w:cs="Times New Roman"/>
          <w:szCs w:val="24"/>
          <w:lang w:val="en-US"/>
        </w:rPr>
        <w:lastRenderedPageBreak/>
        <w:t>Gathering Allies</w:t>
      </w:r>
      <w:bookmarkEnd w:id="8"/>
      <w:bookmarkEnd w:id="9"/>
    </w:p>
    <w:p w:rsidR="005D5B77" w:rsidRPr="00842337" w:rsidRDefault="005D5B77" w:rsidP="005D5B77">
      <w:pPr>
        <w:pStyle w:val="Corpodeltesto"/>
        <w:rPr>
          <w:lang w:val="en-US" w:eastAsia="en-US"/>
        </w:rPr>
      </w:pPr>
    </w:p>
    <w:p w:rsidR="005D5B77" w:rsidRPr="00842337" w:rsidRDefault="005D5B77" w:rsidP="005D5B77">
      <w:pPr>
        <w:pStyle w:val="Corpodeltesto"/>
        <w:rPr>
          <w:b/>
          <w:lang w:val="en-US" w:eastAsia="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With the formation of the Green Energy Initiative, Dr. Amina and Ali embarked on a mission to gather allies and build a network of like-minded individuals who would join them in their quest to harness the potential of microalgae and the PBRC technology. Together, they believed they could revolutionize Pakistan's energy landscape.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Dr. Amina and Ali's first step was to reach out to scientists and researchers across the country who had shown an interest in sustainable energy solutions. They organized seminars, workshops, and conferences, presenting their findings and sharing the immense potential of microalgae in renewable energy production. These events not only educated the scientific community but also inspired many to join their cause.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One of the early supporters of the Green Energy Initiative was Dr. Kareem, a renowned biologist with a deep understanding of microalgae. His expertise and research were invaluable in optimizing the growth and efficiency of microalgae in the PBRC systems. Dr. Kareem's involvement lent credibility to the project and attracted other scientists eager to contribute their</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knowledge.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word of the initiative spread, environmentalists and activists across Pakistan began to take notice. They recognized the dual benefit of using microalgae to produce clean energy while also mitigating the environmental damage caused by traditional energy sources. Environmental organizations offered their support, advocating for government incentives and policies that would promote the adoption of this green technology.</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government, too, was gradually becoming aware of the potential of microalgae in addressing the nation's energy crisis. Dr. Amina and Ali engaged in discussions with key government officials, presenting the economic and environmental advantages of the initiative. These talks led to initial funding to establish pilot projects in select regions of the country.</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Throughout this chapter, the Green Energy Initiative's ranks continued to swell with individuals from various backgrounds, all driven by a shared vision of a sustainable Pakistan. Entrepreneurs, engineers, educators, and students joined the cause, each bringing unique skills and perspectives to the table.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The support and enthusiasm from these diverse allies energized Dr. Amina and Ali. They knew that, while the challenges were significant, their collaborative efforts could overcome them. The dream of transforming Pakistan into a green and energy-independent nation was no longer confined to their imaginations; it was taking root in the hearts and minds of many.</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4 showcased the power of collaboration and the ability of a shared vision to unite people from all walks of life. The Green Energy Initiative was on the brink of something extraordinary, and the journey had only just begun.</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br w:type="page"/>
      </w:r>
    </w:p>
    <w:p w:rsidR="005D5B77" w:rsidRPr="00842337" w:rsidRDefault="005D5B77" w:rsidP="005D5B77">
      <w:pPr>
        <w:pStyle w:val="Titolo1"/>
        <w:rPr>
          <w:rFonts w:ascii="Times New Roman" w:hAnsi="Times New Roman" w:cs="Times New Roman"/>
          <w:szCs w:val="24"/>
          <w:lang w:val="en-US"/>
        </w:rPr>
      </w:pPr>
      <w:bookmarkStart w:id="10" w:name="_Toc148257761"/>
      <w:bookmarkStart w:id="11" w:name="_Toc149491218"/>
      <w:r w:rsidRPr="00842337">
        <w:rPr>
          <w:rFonts w:ascii="Times New Roman" w:hAnsi="Times New Roman" w:cs="Times New Roman"/>
          <w:szCs w:val="24"/>
          <w:lang w:val="en-US"/>
        </w:rPr>
        <w:lastRenderedPageBreak/>
        <w:t>The Grand Experiment</w:t>
      </w:r>
      <w:bookmarkEnd w:id="10"/>
      <w:bookmarkEnd w:id="11"/>
    </w:p>
    <w:p w:rsidR="005D5B77" w:rsidRPr="00842337" w:rsidRDefault="005D5B77" w:rsidP="005D5B77">
      <w:pPr>
        <w:pStyle w:val="Corpodeltesto"/>
        <w:rPr>
          <w:lang w:val="en-US" w:eastAsia="en-US"/>
        </w:rPr>
      </w:pPr>
    </w:p>
    <w:p w:rsidR="005D5B77" w:rsidRPr="00842337" w:rsidRDefault="005D5B77" w:rsidP="005D5B77">
      <w:pPr>
        <w:pStyle w:val="Corpodeltesto"/>
        <w:rPr>
          <w:b/>
          <w:lang w:val="en-US" w:eastAsia="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Green Energy Initiative gained momentum and allies from various backgrounds, Dr. Amina and Ali set their sights on realizing their vision through a grand experiment. They planned to select a vast stretch of arid land in the heart of Pakistan and establish a massive PBRC (Photo Bio Reactor Continuous) facility for the controlled growth of microalgae on a large scale. This experiment would serve as the proving ground for their innovative approach to energy production.</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selected location was an expanse of land in the province of Punjab, chosen for its ample sunlight and availability of water resources. The construction of the PBRC facility was a massive undertaking, requiring the combined effort of engineers, scientists, and laborers. It was a physical manifestation of their shared dream to transform Pakistan into a green and energy-independent nation.</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 xml:space="preserve">Once the PBRC facility was complete, it resembled a labyrinth of interconnected transparent tubes and chambers, designed to maximize sunlight exposure and nutrient circulation. Dr. Amina and her team began the meticulous task of cultivating </w:t>
      </w:r>
      <w:r w:rsidRPr="00842337">
        <w:rPr>
          <w:rFonts w:ascii="Times New Roman" w:hAnsi="Times New Roman" w:cs="Times New Roman"/>
          <w:szCs w:val="24"/>
          <w:lang w:val="en-US"/>
        </w:rPr>
        <w:lastRenderedPageBreak/>
        <w:t>microalgae in the PBRCs. It was a delicate process that required precise control of environmental factors, from temperature and light to nutrient concentrations.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Day by day, the microalgae within the PBRCs multiplied rapidly, demonstrating their ability to thrive in the challenging Pakistani climate. It was a mesmerizing sight as the translucent green microorganisms swayed gently in the sunlight, performing their magic of photosynthesis.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experiment was a resounding success. The microalgae not only thrived but exceeded all expectations in their capacity to produce biofuels and clean energy. The Green Energy Initiative has taken a significant step towards proving that microalgae could be the solution to Pakistan's energy crisis.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news of this successful experiment spread, it captured the attention of the nation. Pakistan, a country accustomed to stories of energy shortages, had a reason to hope. The promise of abundant, clean, and sustainable energy was no longer a dream but a reality, and the people began to see the potential for a brighter future.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The impact of this grand experiment was not limited to energy production. The microalgae, in their voracious appetite for carbon dioxide, began to play a crucial role in combatting climate change. They absorbed significant amounts of this greenhouse gas from the atmosphere, contributing to a reduction in carbon emissions.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5 marked a turning point in the story. The grand experiment not only demonstrated the viability of the Green Energy Initiative but also offered tangible proof that microalgae when harnessed on a large scale, could alleviate Pakistan's energy crisis and address the environmental challenges posed by climate change. The dream of a sustainable Pakistan was no longer confined to the realm of theory; it had taken root in the arid soil of Punjab and was beginning to flourish.</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br w:type="page"/>
      </w:r>
    </w:p>
    <w:p w:rsidR="005D5B77" w:rsidRPr="00842337" w:rsidRDefault="005D5B77" w:rsidP="005D5B77">
      <w:pPr>
        <w:pStyle w:val="Titolo1"/>
        <w:rPr>
          <w:rFonts w:ascii="Times New Roman" w:hAnsi="Times New Roman" w:cs="Times New Roman"/>
          <w:lang w:val="en-US"/>
        </w:rPr>
      </w:pPr>
      <w:bookmarkStart w:id="12" w:name="_Toc148257762"/>
      <w:bookmarkStart w:id="13" w:name="_Toc149491219"/>
      <w:r w:rsidRPr="00842337">
        <w:rPr>
          <w:rFonts w:ascii="Times New Roman" w:hAnsi="Times New Roman" w:cs="Times New Roman"/>
          <w:szCs w:val="24"/>
          <w:lang w:val="en-US"/>
        </w:rPr>
        <w:lastRenderedPageBreak/>
        <w:t>A Country Transformed</w:t>
      </w:r>
      <w:bookmarkEnd w:id="12"/>
      <w:bookmarkEnd w:id="13"/>
    </w:p>
    <w:p w:rsidR="005D5B77" w:rsidRPr="00842337" w:rsidRDefault="005D5B77" w:rsidP="005D5B77">
      <w:pPr>
        <w:jc w:val="both"/>
        <w:rPr>
          <w:rFonts w:ascii="Times New Roman" w:hAnsi="Times New Roman" w:cs="Times New Roman"/>
          <w:b/>
          <w:lang w:val="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6 picks up the story of the Green Energy Initiative as the success of their grand experiment begins to have a transformative impact on Pakistan. This chapter explores the far-reaching consequences of their innovative approach to clean energy production and carbon emissions reduction.</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days turned into weeks and the weeks into months, the Green Energy Initiative's experiment continued to surpass all expectations. The vast PBRC facility, spread across the arid landscapes of Punjab, was a testament to human ingenuity and the incredible capacity of microalgae.</w:t>
      </w:r>
    </w:p>
    <w:p w:rsidR="005D5B77" w:rsidRPr="00842337" w:rsidRDefault="005D5B77" w:rsidP="005D5B77">
      <w:pPr>
        <w:numPr>
          <w:ilvl w:val="0"/>
          <w:numId w:val="11"/>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Exceeding Expectations</w:t>
      </w:r>
      <w:r w:rsidRPr="00842337">
        <w:rPr>
          <w:rFonts w:ascii="Times New Roman" w:hAnsi="Times New Roman" w:cs="Times New Roman"/>
          <w:szCs w:val="24"/>
          <w:lang w:val="en-US"/>
        </w:rPr>
        <w:t>: The microalgae thriving within the PBRCs were not just surviving; they were flourishing. They were producing a significant amount of biofuels and clean energy, far more than anyone had predicted. The experiment demonstrated that microalgae when exposed to the right conditions, could be a game-changer in sustainable energy production.</w:t>
      </w:r>
    </w:p>
    <w:p w:rsidR="005D5B77" w:rsidRPr="00842337" w:rsidRDefault="005D5B77" w:rsidP="005D5B77">
      <w:pPr>
        <w:numPr>
          <w:ilvl w:val="0"/>
          <w:numId w:val="11"/>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Carbon Dioxide Absorption</w:t>
      </w:r>
      <w:r w:rsidRPr="00842337">
        <w:rPr>
          <w:rFonts w:ascii="Times New Roman" w:hAnsi="Times New Roman" w:cs="Times New Roman"/>
          <w:szCs w:val="24"/>
          <w:lang w:val="en-US"/>
        </w:rPr>
        <w:t xml:space="preserve">: However the impact of their experiment extended beyond energy production. </w:t>
      </w:r>
      <w:r w:rsidRPr="00842337">
        <w:rPr>
          <w:rFonts w:ascii="Times New Roman" w:hAnsi="Times New Roman" w:cs="Times New Roman"/>
          <w:szCs w:val="24"/>
          <w:lang w:val="en-US"/>
        </w:rPr>
        <w:lastRenderedPageBreak/>
        <w:t>The microalgae were voraciously absorbing carbon dioxide from the atmosphere, helping to combat climate change. Their capacity to act as a natural carbon sink was a remarkable discovery, offering the dual benefit of reducing carbon emissions while providing a source of clean energy.</w:t>
      </w:r>
    </w:p>
    <w:p w:rsidR="005D5B77" w:rsidRPr="00842337" w:rsidRDefault="005D5B77" w:rsidP="005D5B77">
      <w:pPr>
        <w:numPr>
          <w:ilvl w:val="0"/>
          <w:numId w:val="11"/>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lang w:val="en-US"/>
        </w:rPr>
        <w:t>Alleviating the Energy Crisis</w:t>
      </w:r>
      <w:r w:rsidRPr="00842337">
        <w:rPr>
          <w:rFonts w:ascii="Times New Roman" w:hAnsi="Times New Roman" w:cs="Times New Roman"/>
          <w:szCs w:val="24"/>
          <w:lang w:val="en-US"/>
        </w:rPr>
        <w:t xml:space="preserve">: As the experiment continued to yield positive results, Pakistan's energy landscape began to transform. The nation's reliance on fossil fuels was gradually diminishing. Frequent power outages, which had become a part of daily life for most Pakistanis, started to recede into the past. </w:t>
      </w:r>
      <w:r w:rsidRPr="00842337">
        <w:rPr>
          <w:rFonts w:ascii="Times New Roman" w:hAnsi="Times New Roman" w:cs="Times New Roman"/>
          <w:szCs w:val="24"/>
        </w:rPr>
        <w:t>A more stable and sustainable energy supply was emerging.</w:t>
      </w:r>
    </w:p>
    <w:p w:rsidR="005D5B77" w:rsidRPr="00842337" w:rsidRDefault="005D5B77" w:rsidP="005D5B77">
      <w:pPr>
        <w:numPr>
          <w:ilvl w:val="0"/>
          <w:numId w:val="11"/>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Improved Air Quality</w:t>
      </w:r>
      <w:r w:rsidRPr="00842337">
        <w:rPr>
          <w:rFonts w:ascii="Times New Roman" w:hAnsi="Times New Roman" w:cs="Times New Roman"/>
          <w:szCs w:val="24"/>
          <w:lang w:val="en-US"/>
        </w:rPr>
        <w:t>: The reduction in the burning of fossil fuels led to a noticeable improvement in air quality. The once-polluted skies over major cities began to clear. Breathing became easier, and the health of the population started to benefit from the cleaner air.</w:t>
      </w:r>
    </w:p>
    <w:p w:rsidR="005D5B77" w:rsidRPr="00842337" w:rsidRDefault="005D5B77" w:rsidP="005D5B77">
      <w:pPr>
        <w:numPr>
          <w:ilvl w:val="0"/>
          <w:numId w:val="11"/>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Economic Benefits</w:t>
      </w:r>
      <w:r w:rsidRPr="00842337">
        <w:rPr>
          <w:rFonts w:ascii="Times New Roman" w:hAnsi="Times New Roman" w:cs="Times New Roman"/>
          <w:szCs w:val="24"/>
          <w:lang w:val="en-US"/>
        </w:rPr>
        <w:t xml:space="preserve">: The economic impact of this transformation was significant. Pakistan was no longer burdened by the costs of importing fossil fuels, and it </w:t>
      </w:r>
      <w:r w:rsidRPr="00842337">
        <w:rPr>
          <w:rFonts w:ascii="Times New Roman" w:hAnsi="Times New Roman" w:cs="Times New Roman"/>
          <w:szCs w:val="24"/>
          <w:lang w:val="en-US"/>
        </w:rPr>
        <w:lastRenderedPageBreak/>
        <w:t>could allocate its resources to other critical areas of development. The burgeoning microalgae industry also created new jobs and opportunities for the people.</w:t>
      </w:r>
    </w:p>
    <w:p w:rsidR="005D5B77" w:rsidRPr="00842337" w:rsidRDefault="005D5B77" w:rsidP="005D5B77">
      <w:pPr>
        <w:numPr>
          <w:ilvl w:val="0"/>
          <w:numId w:val="11"/>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Inspiration for the World</w:t>
      </w:r>
      <w:r w:rsidRPr="00842337">
        <w:rPr>
          <w:rFonts w:ascii="Times New Roman" w:hAnsi="Times New Roman" w:cs="Times New Roman"/>
          <w:szCs w:val="24"/>
          <w:lang w:val="en-US"/>
        </w:rPr>
        <w:t>: Pakistan's success story with microalgae and the PBRC technology captured the attention of the world. Many countries struggling with similar energy and environmental challenges saw hope in this innovative approach. They began to consider their initiatives, inspired by Pakistan's journey toward sustainability.</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chapter ends on a note of triumph and optimism. The Green Energy Initiative not only demonstrated the power of science and innovation but also showcased the ability of a dedicated group of individuals to change the course of a nation. The dream of a sustainable Pakistan was becoming a reality, and it was a dream that was not limited to Pakistan alone. It was an inspiration for the world to follow, a beacon of hope in a time of global environmental challenges.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br w:type="page"/>
      </w:r>
    </w:p>
    <w:p w:rsidR="005D5B77" w:rsidRPr="00842337" w:rsidRDefault="005D5B77" w:rsidP="005D5B77">
      <w:pPr>
        <w:pStyle w:val="Titolo1"/>
        <w:rPr>
          <w:rFonts w:ascii="Times New Roman" w:hAnsi="Times New Roman" w:cs="Times New Roman"/>
          <w:lang w:val="en-US"/>
        </w:rPr>
      </w:pPr>
      <w:bookmarkStart w:id="14" w:name="_Toc148257763"/>
      <w:bookmarkStart w:id="15" w:name="_Toc149491220"/>
      <w:r w:rsidRPr="00842337">
        <w:rPr>
          <w:rFonts w:ascii="Times New Roman" w:hAnsi="Times New Roman" w:cs="Times New Roman"/>
          <w:szCs w:val="24"/>
          <w:lang w:val="en-US"/>
        </w:rPr>
        <w:lastRenderedPageBreak/>
        <w:t>A Sustainable Pakistan</w:t>
      </w:r>
      <w:bookmarkEnd w:id="14"/>
      <w:bookmarkEnd w:id="15"/>
    </w:p>
    <w:p w:rsidR="005D5B77" w:rsidRPr="00842337" w:rsidRDefault="005D5B77" w:rsidP="005D5B77">
      <w:pPr>
        <w:jc w:val="both"/>
        <w:rPr>
          <w:rFonts w:ascii="Times New Roman" w:hAnsi="Times New Roman" w:cs="Times New Roman"/>
          <w:b/>
          <w:lang w:val="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7 delves into the continued success of the Green Energy Initiative and how it garnered support from the government and other key stakeholders, leading to a significant transformation of Pakistan into a sustainable, green energy hub.</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Government Support</w:t>
      </w:r>
      <w:r w:rsidRPr="00842337">
        <w:rPr>
          <w:rFonts w:ascii="Times New Roman" w:hAnsi="Times New Roman" w:cs="Times New Roman"/>
          <w:szCs w:val="24"/>
          <w:lang w:val="en-US"/>
        </w:rPr>
        <w:t>: With the experiment's success, the government recognized the incredible potential of microalgae and the PBRC technology. Government officials acknowledged that this innovative approach could not only address Pakistan's energy crisis but also contribute to global climate change mitigation efforts. Consequently, the government decided to throw its full support behind the initiative.</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National Scale-Up</w:t>
      </w:r>
      <w:r w:rsidRPr="00842337">
        <w:rPr>
          <w:rFonts w:ascii="Times New Roman" w:hAnsi="Times New Roman" w:cs="Times New Roman"/>
          <w:szCs w:val="24"/>
          <w:lang w:val="en-US"/>
        </w:rPr>
        <w:t xml:space="preserve">: With the government's backing, the Green Energy Initiative embarked on an ambitious plan to expand the project. Microalgae fields began to proliferate across the nation, transforming vast expanses of previously barren land into lush, green biofuel farms. These farms absorbed carbon dioxide from the atmosphere, making a significant contribution </w:t>
      </w:r>
      <w:r w:rsidRPr="00842337">
        <w:rPr>
          <w:rFonts w:ascii="Times New Roman" w:hAnsi="Times New Roman" w:cs="Times New Roman"/>
          <w:szCs w:val="24"/>
          <w:lang w:val="en-US"/>
        </w:rPr>
        <w:lastRenderedPageBreak/>
        <w:t>to Pakistan's commitment to reducing its carbon emissions.</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Reduced Reliance on Fossil Fuels</w:t>
      </w:r>
      <w:r w:rsidRPr="00842337">
        <w:rPr>
          <w:rFonts w:ascii="Times New Roman" w:hAnsi="Times New Roman" w:cs="Times New Roman"/>
          <w:szCs w:val="24"/>
          <w:lang w:val="en-US"/>
        </w:rPr>
        <w:t>: The proliferation of microalgae farms also led to a noticeable reduction in Pakistan's dependence on fossil fuels. The nation was no longer at the mercy of fluctuating global oil prices, and energy security became a reality. Frequent power outages, once a significant challenge, became a distant memory.</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Environmental Restoration</w:t>
      </w:r>
      <w:r w:rsidRPr="00842337">
        <w:rPr>
          <w:rFonts w:ascii="Times New Roman" w:hAnsi="Times New Roman" w:cs="Times New Roman"/>
          <w:szCs w:val="24"/>
          <w:lang w:val="en-US"/>
        </w:rPr>
        <w:t>: Pakistan's environment started to heal. The air became cleaner, and carbon emissions decreased as microalgae absorbed CO2. The impact of climate change was not limited to Pakistan but had global implications. The nation was recognized as a leader in green energy innovation.</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Economic Growth</w:t>
      </w:r>
      <w:r w:rsidRPr="00842337">
        <w:rPr>
          <w:rFonts w:ascii="Times New Roman" w:hAnsi="Times New Roman" w:cs="Times New Roman"/>
          <w:szCs w:val="24"/>
          <w:lang w:val="en-US"/>
        </w:rPr>
        <w:t>: The microalgae industry provided economic opportunities for the people of Pakistan. Job creation and new businesses flourished, particularly in rural areas where microalgae farming had taken hold. The income generated from these activities improved the quality of life for many.</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lastRenderedPageBreak/>
        <w:t>Global Inspiration</w:t>
      </w:r>
      <w:r w:rsidRPr="00842337">
        <w:rPr>
          <w:rFonts w:ascii="Times New Roman" w:hAnsi="Times New Roman" w:cs="Times New Roman"/>
          <w:szCs w:val="24"/>
          <w:lang w:val="en-US"/>
        </w:rPr>
        <w:t>: Pakistan's remarkable success story served as an inspiration for other countries facing similar energy and environmental challenges. The Green Energy Initiative shared its knowledge and expertise, aiding the establishment of similar projects worldwide. The global community saw hope in the story of Pakistan's journey towards sustainability.</w:t>
      </w:r>
    </w:p>
    <w:p w:rsidR="005D5B77" w:rsidRPr="00842337" w:rsidRDefault="005D5B77" w:rsidP="005D5B77">
      <w:pPr>
        <w:numPr>
          <w:ilvl w:val="0"/>
          <w:numId w:val="12"/>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Education and Research</w:t>
      </w:r>
      <w:r w:rsidRPr="00842337">
        <w:rPr>
          <w:rFonts w:ascii="Times New Roman" w:hAnsi="Times New Roman" w:cs="Times New Roman"/>
          <w:szCs w:val="24"/>
          <w:lang w:val="en-US"/>
        </w:rPr>
        <w:t>: With the government's support, investments were made in education and research. Universities and research institutions collaborated with the Green Energy Initiative to further refine the microalgae technology, making it even more efficient and affordable.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chapter comes to a close, Pakistan has undergone a profound transformation. Dr. Amina and Ali, once dreamers of a sustainable Pakistan, were now celebrated as national heroes. Their vision, dedication, and unwavering commitment to the Green Energy Initiative have not only transformed the nation but also left an indelible mark on the world.</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 xml:space="preserve">Pakistan's story was a testament to what was possible when science, innovation, and collective determination came together. </w:t>
      </w:r>
      <w:r w:rsidRPr="00842337">
        <w:rPr>
          <w:rFonts w:ascii="Times New Roman" w:hAnsi="Times New Roman" w:cs="Times New Roman"/>
          <w:szCs w:val="24"/>
          <w:lang w:val="en-US"/>
        </w:rPr>
        <w:lastRenderedPageBreak/>
        <w:t>The dream of a sustainable Pakistan, once a fragile idea in Dr. Amina's laboratory, had now become a powerful reality, proving that with the right technology and the will to change, even the most daunting challenges could be overcome.</w:t>
      </w:r>
    </w:p>
    <w:p w:rsidR="004A54FD" w:rsidRDefault="004A54FD">
      <w:pPr>
        <w:rPr>
          <w:rFonts w:ascii="Times New Roman" w:eastAsiaTheme="majorEastAsia" w:hAnsi="Times New Roman" w:cs="Times New Roman"/>
          <w:b/>
          <w:bCs/>
          <w:color w:val="365F91" w:themeColor="accent1" w:themeShade="BF"/>
          <w:sz w:val="28"/>
          <w:szCs w:val="28"/>
          <w:lang w:val="en-US"/>
        </w:rPr>
      </w:pPr>
      <w:bookmarkStart w:id="16" w:name="_Toc148257764"/>
      <w:r>
        <w:rPr>
          <w:rFonts w:ascii="Times New Roman" w:hAnsi="Times New Roman" w:cs="Times New Roman"/>
          <w:lang w:val="en-US"/>
        </w:rPr>
        <w:br w:type="page"/>
      </w:r>
    </w:p>
    <w:p w:rsidR="005D5B77" w:rsidRPr="00842337" w:rsidRDefault="005D5B77" w:rsidP="005D5B77">
      <w:pPr>
        <w:pStyle w:val="Titolo1"/>
        <w:rPr>
          <w:rFonts w:ascii="Times New Roman" w:hAnsi="Times New Roman" w:cs="Times New Roman"/>
          <w:lang w:val="en-US"/>
        </w:rPr>
      </w:pPr>
      <w:bookmarkStart w:id="17" w:name="_Toc149491221"/>
      <w:r w:rsidRPr="00842337">
        <w:rPr>
          <w:rFonts w:ascii="Times New Roman" w:hAnsi="Times New Roman" w:cs="Times New Roman"/>
          <w:lang w:val="en-US"/>
        </w:rPr>
        <w:lastRenderedPageBreak/>
        <w:t>A New Hope</w:t>
      </w:r>
      <w:bookmarkEnd w:id="16"/>
      <w:bookmarkEnd w:id="17"/>
    </w:p>
    <w:p w:rsidR="005D5B77" w:rsidRPr="00842337" w:rsidRDefault="005D5B77" w:rsidP="005D5B77">
      <w:pPr>
        <w:jc w:val="both"/>
        <w:rPr>
          <w:rFonts w:ascii="Times New Roman" w:hAnsi="Times New Roman" w:cs="Times New Roman"/>
          <w:b/>
          <w:lang w:val="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8 explores the continued impact of the Green Energy Initiative on Pakistan and the world, as well as the personal journey and the evolving legacy of Dr. Amina and Ali.</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Improved Quality of Life</w:t>
      </w:r>
      <w:r w:rsidRPr="00842337">
        <w:rPr>
          <w:rFonts w:ascii="Times New Roman" w:hAnsi="Times New Roman" w:cs="Times New Roman"/>
          <w:szCs w:val="24"/>
          <w:lang w:val="en-US"/>
        </w:rPr>
        <w:t>: As the sustainable energy infrastructure solidified, the lives of the people in Pakistan changed dramatically. Power outages, which had long been a source of frustration and inconvenience, became a thing of the past. Electricity was stable, and the people could rely on it for their daily needs, from running businesses to studying in well-lit schools.</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Cleaner Air and Health Benefits</w:t>
      </w:r>
      <w:r w:rsidRPr="00842337">
        <w:rPr>
          <w:rFonts w:ascii="Times New Roman" w:hAnsi="Times New Roman" w:cs="Times New Roman"/>
          <w:szCs w:val="24"/>
          <w:lang w:val="en-US"/>
        </w:rPr>
        <w:t>: The improved air quality had immediate health benefits. Cases of respiratory illnesses and other pollution-related health issues decreased. Families could breathe easier, and children grew up in an environment with cleaner, fresher air.</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Economic Prosperity</w:t>
      </w:r>
      <w:r w:rsidRPr="00842337">
        <w:rPr>
          <w:rFonts w:ascii="Times New Roman" w:hAnsi="Times New Roman" w:cs="Times New Roman"/>
          <w:szCs w:val="24"/>
          <w:lang w:val="en-US"/>
        </w:rPr>
        <w:t xml:space="preserve">: The thriving microalgae industry contributed significantly to the economy. Job </w:t>
      </w:r>
      <w:r w:rsidRPr="00842337">
        <w:rPr>
          <w:rFonts w:ascii="Times New Roman" w:hAnsi="Times New Roman" w:cs="Times New Roman"/>
          <w:szCs w:val="24"/>
          <w:lang w:val="en-US"/>
        </w:rPr>
        <w:lastRenderedPageBreak/>
        <w:t>opportunities abounded in the microalgae farms, research institutions, and various support industries. Rural areas experienced an economic boost, reducing urban migration and fostering balanced regional development.</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Environmental Healing</w:t>
      </w:r>
      <w:r w:rsidRPr="00842337">
        <w:rPr>
          <w:rFonts w:ascii="Times New Roman" w:hAnsi="Times New Roman" w:cs="Times New Roman"/>
          <w:szCs w:val="24"/>
          <w:lang w:val="en-US"/>
        </w:rPr>
        <w:t>: Pakistan's environment was on the path to recovery. Microalgae fields, in their role as carbon sinks, helped slow the advance of climate change. The reduced reliance on fossil fuels was making a significant dent in greenhouse gas emissions.</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Government Commitment</w:t>
      </w:r>
      <w:r w:rsidRPr="00842337">
        <w:rPr>
          <w:rFonts w:ascii="Times New Roman" w:hAnsi="Times New Roman" w:cs="Times New Roman"/>
          <w:szCs w:val="24"/>
          <w:lang w:val="en-US"/>
        </w:rPr>
        <w:t>: The government continued to invest in the Green Energy Initiative, recognizing the long-term benefits of sustainability. Policies were put in place to support renewable energy and environmental conservation efforts.</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International Recognition</w:t>
      </w:r>
      <w:r w:rsidRPr="00842337">
        <w:rPr>
          <w:rFonts w:ascii="Times New Roman" w:hAnsi="Times New Roman" w:cs="Times New Roman"/>
          <w:szCs w:val="24"/>
          <w:lang w:val="en-US"/>
        </w:rPr>
        <w:t>: Pakistan's achievements in sustainable energy and environmental restoration had global recognition. The nation was now a sought-after partner in international efforts to combat climate change, offering its knowledge and experience to other countries facing similar challenges.</w:t>
      </w:r>
    </w:p>
    <w:p w:rsidR="005D5B77" w:rsidRPr="00842337" w:rsidRDefault="005D5B77" w:rsidP="005D5B77">
      <w:pPr>
        <w:numPr>
          <w:ilvl w:val="0"/>
          <w:numId w:val="13"/>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lang w:val="en-US"/>
        </w:rPr>
        <w:lastRenderedPageBreak/>
        <w:t>Dr. Amina and Ali's Legacy</w:t>
      </w:r>
      <w:r w:rsidRPr="00842337">
        <w:rPr>
          <w:rFonts w:ascii="Times New Roman" w:hAnsi="Times New Roman" w:cs="Times New Roman"/>
          <w:szCs w:val="24"/>
          <w:lang w:val="en-US"/>
        </w:rPr>
        <w:t xml:space="preserve">: Dr. Amina and Ali, the visionary founders of the Green Energy Initiative, had transitioned from passionate scientists to national icons. Their unwavering dedication to the initiative has not only transformed Pakistan but also inspired the world. </w:t>
      </w:r>
      <w:r w:rsidRPr="00842337">
        <w:rPr>
          <w:rFonts w:ascii="Times New Roman" w:hAnsi="Times New Roman" w:cs="Times New Roman"/>
          <w:szCs w:val="24"/>
        </w:rPr>
        <w:t>Their legacy was one of determination and innovation.</w:t>
      </w:r>
    </w:p>
    <w:p w:rsidR="005D5B77" w:rsidRPr="00842337" w:rsidRDefault="005D5B77" w:rsidP="005D5B77">
      <w:pPr>
        <w:numPr>
          <w:ilvl w:val="0"/>
          <w:numId w:val="13"/>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Ongoing Work and Research</w:t>
      </w:r>
      <w:r w:rsidRPr="00842337">
        <w:rPr>
          <w:rFonts w:ascii="Times New Roman" w:hAnsi="Times New Roman" w:cs="Times New Roman"/>
          <w:szCs w:val="24"/>
          <w:lang w:val="en-US"/>
        </w:rPr>
        <w:t>: Dr. Amina and Ali did not rest on their laurels. They continued to work on improving the microalgae technology, making it even more efficient and affordable. Their research contributed to the global development of sustainable energy solutions.</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chapter concludes, the story of Pakistan's journey towards sustainability is one of hope and triumph. It demonstrated that, even in the face of formidable challenges, a dream supported by science and the collective will of the people could become a reality. Pakistan's legacy was no longer one of energy crises and environmental degradation but a shining example of how innovation and determination could create a sustainable and prosperous future.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br w:type="page"/>
      </w:r>
    </w:p>
    <w:p w:rsidR="005D5B77" w:rsidRPr="00842337" w:rsidRDefault="005D5B77" w:rsidP="005D5B77">
      <w:pPr>
        <w:pStyle w:val="Titolo1"/>
        <w:jc w:val="both"/>
        <w:rPr>
          <w:rFonts w:ascii="Times New Roman" w:hAnsi="Times New Roman" w:cs="Times New Roman"/>
          <w:b w:val="0"/>
          <w:lang w:val="en-US"/>
        </w:rPr>
      </w:pPr>
      <w:bookmarkStart w:id="18" w:name="_Toc148257765"/>
      <w:bookmarkStart w:id="19" w:name="_Toc149491222"/>
      <w:r w:rsidRPr="00842337">
        <w:rPr>
          <w:rFonts w:ascii="Times New Roman" w:hAnsi="Times New Roman" w:cs="Times New Roman"/>
          <w:b w:val="0"/>
          <w:lang w:val="en-US"/>
        </w:rPr>
        <w:lastRenderedPageBreak/>
        <w:t>The Legacy</w:t>
      </w:r>
      <w:bookmarkEnd w:id="18"/>
      <w:bookmarkEnd w:id="19"/>
    </w:p>
    <w:p w:rsidR="005D5B77" w:rsidRPr="00842337" w:rsidRDefault="005D5B77" w:rsidP="005D5B77">
      <w:pPr>
        <w:jc w:val="both"/>
        <w:rPr>
          <w:rFonts w:ascii="Times New Roman" w:hAnsi="Times New Roman" w:cs="Times New Roman"/>
          <w:b/>
          <w:lang w:val="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Chapter 9 delves into the evolving legacy of Dr. Amina, Ali, and the Green Energy Initiative. It explores their continued efforts to improve and expand microalgae technology while reflecting on the impact of their work.</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Celebrated National Heroes</w:t>
      </w:r>
      <w:r w:rsidRPr="00842337">
        <w:rPr>
          <w:rFonts w:ascii="Times New Roman" w:hAnsi="Times New Roman" w:cs="Times New Roman"/>
          <w:szCs w:val="24"/>
          <w:lang w:val="en-US"/>
        </w:rPr>
        <w:t>: Dr. Amina and Ali were now celebrated as national heroes. Their faces adorned posters and billboards across Pakistan. They received numerous awards, honors, and accolades for their vision and determination to transform the nation.</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Educational Initiatives</w:t>
      </w:r>
      <w:r w:rsidRPr="00842337">
        <w:rPr>
          <w:rFonts w:ascii="Times New Roman" w:hAnsi="Times New Roman" w:cs="Times New Roman"/>
          <w:szCs w:val="24"/>
          <w:lang w:val="en-US"/>
        </w:rPr>
        <w:t>: Dr. Amina and Ali, recognizing the importance of education in sustaining their vision, established educational initiatives. Scholarships and programs were created to encourage young minds to pursue careers in science, engineering, and environmental conservation.</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Innovation and Collaboration</w:t>
      </w:r>
      <w:r w:rsidRPr="00842337">
        <w:rPr>
          <w:rFonts w:ascii="Times New Roman" w:hAnsi="Times New Roman" w:cs="Times New Roman"/>
          <w:szCs w:val="24"/>
          <w:lang w:val="en-US"/>
        </w:rPr>
        <w:t xml:space="preserve">: The Green Energy Initiative continued to innovate. Dr. Amina and Ali collaborated with experts and researchers worldwide to refine the microalgae technology. Breakthroughs in </w:t>
      </w:r>
      <w:r w:rsidRPr="00842337">
        <w:rPr>
          <w:rFonts w:ascii="Times New Roman" w:hAnsi="Times New Roman" w:cs="Times New Roman"/>
          <w:szCs w:val="24"/>
          <w:lang w:val="en-US"/>
        </w:rPr>
        <w:lastRenderedPageBreak/>
        <w:t>efficiency and cost-effectiveness further solidified the project's long-term viability.</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Global Impact</w:t>
      </w:r>
      <w:r w:rsidRPr="00842337">
        <w:rPr>
          <w:rFonts w:ascii="Times New Roman" w:hAnsi="Times New Roman" w:cs="Times New Roman"/>
          <w:szCs w:val="24"/>
          <w:lang w:val="en-US"/>
        </w:rPr>
        <w:t>: The initiative's reach extended beyond Pakistan. Many countries looked to the Pakistani model of sustainable energy and environmental restoration as a source of inspiration. They sought Pakistan's guidance in implementing similar projects, marking a global shift towards green energy solutions.</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Environmental Restoration</w:t>
      </w:r>
      <w:r w:rsidRPr="00842337">
        <w:rPr>
          <w:rFonts w:ascii="Times New Roman" w:hAnsi="Times New Roman" w:cs="Times New Roman"/>
          <w:szCs w:val="24"/>
          <w:lang w:val="en-US"/>
        </w:rPr>
        <w:t>: As microalgae fields expanded, Pakistan's environment continued to heal. The impact on climate change mitigation was significant. Pakistan was at the forefront of international efforts to combat global warming.</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Economic Growth</w:t>
      </w:r>
      <w:r w:rsidRPr="00842337">
        <w:rPr>
          <w:rFonts w:ascii="Times New Roman" w:hAnsi="Times New Roman" w:cs="Times New Roman"/>
          <w:szCs w:val="24"/>
          <w:lang w:val="en-US"/>
        </w:rPr>
        <w:t>: The microalgae industry provided economic opportunities not only within Pakistan but also through international partnerships. Exports of microalgae-based products, including biofuels and nutritional supplements, contributed to the nation's economic growth.</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Hope for the Future</w:t>
      </w:r>
      <w:r w:rsidRPr="00842337">
        <w:rPr>
          <w:rFonts w:ascii="Times New Roman" w:hAnsi="Times New Roman" w:cs="Times New Roman"/>
          <w:szCs w:val="24"/>
          <w:lang w:val="en-US"/>
        </w:rPr>
        <w:t xml:space="preserve">: The Green Energy Initiative served as a symbol of hope for a sustainable future, </w:t>
      </w:r>
      <w:r w:rsidRPr="00842337">
        <w:rPr>
          <w:rFonts w:ascii="Times New Roman" w:hAnsi="Times New Roman" w:cs="Times New Roman"/>
          <w:szCs w:val="24"/>
          <w:lang w:val="en-US"/>
        </w:rPr>
        <w:lastRenderedPageBreak/>
        <w:t>both for Pakistan and the world. It was a testament to what could be achieved when dedicated individuals and nations worked together towards a common goal.</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Challenges Ahead</w:t>
      </w:r>
      <w:r w:rsidRPr="00842337">
        <w:rPr>
          <w:rFonts w:ascii="Times New Roman" w:hAnsi="Times New Roman" w:cs="Times New Roman"/>
          <w:szCs w:val="24"/>
          <w:lang w:val="en-US"/>
        </w:rPr>
        <w:t>: Dr. Amina and Ali recognized that challenges would persist. They continued to advocate for policies that supported renewable energy and environmental protection, and they urged the international community to unite in the face of climate change.</w:t>
      </w:r>
    </w:p>
    <w:p w:rsidR="005D5B77" w:rsidRPr="00842337" w:rsidRDefault="005D5B77" w:rsidP="005D5B77">
      <w:pPr>
        <w:numPr>
          <w:ilvl w:val="0"/>
          <w:numId w:val="14"/>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The Power of a Dream</w:t>
      </w:r>
      <w:r w:rsidRPr="00842337">
        <w:rPr>
          <w:rFonts w:ascii="Times New Roman" w:hAnsi="Times New Roman" w:cs="Times New Roman"/>
          <w:szCs w:val="24"/>
          <w:lang w:val="en-US"/>
        </w:rPr>
        <w:t>: The legacy of Dr. Amina, Ali, and the Green Energy Initiative was a testament to the power of a dream. Their journey from a small laboratory in Greenville to the transformation of Pakistan was a story of determination, innovation, and hope.</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 xml:space="preserve">As the chapter concludes, it emphasizes that the work of the Green Energy Initiative was far from over. It was a continuing story of dedication to the principles of sustainability, environmental conservation, and clean energy. The dream of a sustainable Pakistan and a better world was a torch that Dr. </w:t>
      </w:r>
      <w:r w:rsidRPr="00842337">
        <w:rPr>
          <w:rFonts w:ascii="Times New Roman" w:hAnsi="Times New Roman" w:cs="Times New Roman"/>
          <w:szCs w:val="24"/>
          <w:lang w:val="en-US"/>
        </w:rPr>
        <w:lastRenderedPageBreak/>
        <w:t>Amina, Ali, and their allies carried forward, illuminating the path toward a brighter future for all.</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br w:type="page"/>
      </w:r>
    </w:p>
    <w:p w:rsidR="005D5B77" w:rsidRPr="00842337" w:rsidRDefault="005D5B77" w:rsidP="005D5B77">
      <w:pPr>
        <w:pStyle w:val="Titolo1"/>
        <w:jc w:val="both"/>
        <w:rPr>
          <w:rFonts w:ascii="Times New Roman" w:hAnsi="Times New Roman" w:cs="Times New Roman"/>
          <w:b w:val="0"/>
          <w:lang w:val="en-US"/>
        </w:rPr>
      </w:pPr>
      <w:bookmarkStart w:id="20" w:name="_Toc148257766"/>
      <w:bookmarkStart w:id="21" w:name="_Toc149491223"/>
      <w:r w:rsidRPr="00842337">
        <w:rPr>
          <w:rFonts w:ascii="Times New Roman" w:hAnsi="Times New Roman" w:cs="Times New Roman"/>
          <w:b w:val="0"/>
          <w:lang w:val="en-US"/>
        </w:rPr>
        <w:lastRenderedPageBreak/>
        <w:t>The Future</w:t>
      </w:r>
      <w:bookmarkEnd w:id="20"/>
      <w:bookmarkEnd w:id="21"/>
    </w:p>
    <w:p w:rsidR="005D5B77" w:rsidRPr="00842337" w:rsidRDefault="005D5B77" w:rsidP="005D5B77">
      <w:pPr>
        <w:jc w:val="both"/>
        <w:rPr>
          <w:rFonts w:ascii="Times New Roman" w:hAnsi="Times New Roman" w:cs="Times New Roman"/>
          <w:b/>
          <w:lang w:val="en-US"/>
        </w:rPr>
      </w:pP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In the final chapter of our story, we journey further into the future to explore the long-term impact of the Green Energy Initiative, the lasting legacy of Dr. Amina, Ali, and their collaborators, and the vision of world-embracing sustainability.</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Sustaining the Dream</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Green Energy Initiative had evolved into a thriving and self-sustaining system. The microalgae farms, now spanning across Pakistan, were more efficient and productive than ever. Dr. Amina's and Ali's tireless efforts, in collaboration with scientists and engineers around the world, have led to the development of advanced PBRC technologies, enabling even more cost-effective and environmentally friendly energy production.</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A Greener Nation</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 xml:space="preserve">Pakistan was no longer the nation grappling with power outages and environmental degradation. It was a beacon of green energy innovation. The once-barren lands had transformed into lush fields of microalgae, drawing tourists, researchers, and </w:t>
      </w:r>
      <w:r w:rsidRPr="00842337">
        <w:rPr>
          <w:rFonts w:ascii="Times New Roman" w:hAnsi="Times New Roman" w:cs="Times New Roman"/>
          <w:szCs w:val="24"/>
          <w:lang w:val="en-US"/>
        </w:rPr>
        <w:lastRenderedPageBreak/>
        <w:t>enthusiasts from across the globe. The nation had transitioned from an energy crisis to an energy exporter, sharing its excess clean energy with neighboring countries.</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Global Inspiration</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Pakistan's success had a ripple effect. Nations across Asia, Africa, and beyond looked to Pakistan for guidance on implementing similar sustainable energy projects. Dr. Amina and Ali became global ambassadors of green energy, sharing their experiences and expertise in countless international forums, and collaborating on cross-border initiatives aimed at combating climate change.</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Environmental Stewardship</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microalgae fields played a crucial role in climate change mitigation. They continued to absorb vast amounts of carbon dioxide, contributing significantly to the global fight against greenhouse gas emissions. Pakistan's commitment to environmental stewardship was both a national and an international responsibility.</w:t>
      </w:r>
    </w:p>
    <w:p w:rsidR="005D5B77" w:rsidRPr="00842337" w:rsidRDefault="005D5B77" w:rsidP="005D5B77">
      <w:pPr>
        <w:numPr>
          <w:ilvl w:val="0"/>
          <w:numId w:val="15"/>
        </w:numPr>
        <w:spacing w:after="160" w:line="360" w:lineRule="auto"/>
        <w:jc w:val="both"/>
        <w:rPr>
          <w:rFonts w:ascii="Times New Roman" w:hAnsi="Times New Roman" w:cs="Times New Roman"/>
          <w:b/>
          <w:szCs w:val="24"/>
          <w:lang w:val="en-US"/>
        </w:rPr>
      </w:pPr>
      <w:r w:rsidRPr="00842337">
        <w:rPr>
          <w:rFonts w:ascii="Times New Roman" w:hAnsi="Times New Roman" w:cs="Times New Roman"/>
          <w:bCs/>
          <w:szCs w:val="24"/>
          <w:lang w:val="en-US"/>
        </w:rPr>
        <w:t>Economic Growth and Social Well-being</w:t>
      </w:r>
      <w:r w:rsidRPr="00842337">
        <w:rPr>
          <w:rFonts w:ascii="Times New Roman" w:hAnsi="Times New Roman" w:cs="Times New Roman"/>
          <w:szCs w:val="24"/>
          <w:lang w:val="en-US"/>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The Green Energy Initiative had transformed Pakistan's economy. The nation's energy independence and robust microalgae industry have created thousands of jobs and spurred innovation in various sectors. Rural communities around microalgae farms thrived, and educational programs improved the quality of life for many.</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Innovations Beyond Energy</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innovations sparked by the Green Energy Initiative had far-reaching consequences. New technologies emerged in fields like agriculture, healthcare, and environmental monitoring, thanks to the research and development efforts in sustainable energy. Pakistan's scientific community was now a world leader in these areas.</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Educational Transformation</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Educational institutions in Pakistan continued to flourish, producing the next generation of scientists, engineers, and environmentalists. Scholarships and research grants funded by Dr. Amina's and Ali's initiatives empowered young minds to think creatively and take on the world's most pressing challenges.</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lastRenderedPageBreak/>
        <w:t>Government Commitment and Policies</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government of Pakistan remained committed to green energy and environmental conservation. Comprehensive policies ensured the continued growth of the microalgae industry, with incentives for renewable energy projects and a focus on protecting natural resources.</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A World United</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global community grappled with the consequences of climate change, the success of the Green Energy Initiative inspired nations to set aside differences and work together. International agreements and collaborations emerged, strengthening the world's resolve to transition to sustainable energy sources.</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A Renewed Vision</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Dr. Amina and Ali, now in their senior years, looked back on their journey with gratitude and pride. They continued to work on improving the technology they had pioneered, embracing new challenges with the same passion and dedication.</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The Legacy of Hope</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lastRenderedPageBreak/>
        <w:t>The legacy of Dr. Amina and Ali was not merely about technology; it was about hope. It was a testament to the power of human determination, innovation, and collaboration. Their story was a reminder that even in the face of daunting challenges, a shared vision and unwavering commitment could lead to remarkable change.</w:t>
      </w:r>
    </w:p>
    <w:p w:rsidR="005D5B77" w:rsidRPr="00842337" w:rsidRDefault="005D5B77" w:rsidP="005D5B77">
      <w:pPr>
        <w:numPr>
          <w:ilvl w:val="0"/>
          <w:numId w:val="15"/>
        </w:numPr>
        <w:spacing w:after="160" w:line="360" w:lineRule="auto"/>
        <w:jc w:val="both"/>
        <w:rPr>
          <w:rFonts w:ascii="Times New Roman" w:hAnsi="Times New Roman" w:cs="Times New Roman"/>
          <w:b/>
          <w:szCs w:val="24"/>
        </w:rPr>
      </w:pPr>
      <w:r w:rsidRPr="00842337">
        <w:rPr>
          <w:rFonts w:ascii="Times New Roman" w:hAnsi="Times New Roman" w:cs="Times New Roman"/>
          <w:bCs/>
          <w:szCs w:val="24"/>
        </w:rPr>
        <w:t>The Future Beckons</w:t>
      </w:r>
      <w:r w:rsidRPr="00842337">
        <w:rPr>
          <w:rFonts w:ascii="Times New Roman" w:hAnsi="Times New Roman" w:cs="Times New Roman"/>
          <w:szCs w:val="24"/>
        </w:rPr>
        <w:t>:</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The future was bright, not just for Pakistan but for the entire world. The journey from a world in crisis to a world of sustainability was a testament to the potential of the human spirit. The Green Energy Initiative and its visionary leaders had shown that the path to a sustainable future was not a distant dream; it was a reality within our reach.</w:t>
      </w:r>
    </w:p>
    <w:p w:rsidR="005D5B77" w:rsidRPr="00842337" w:rsidRDefault="005D5B77" w:rsidP="005D5B77">
      <w:pPr>
        <w:spacing w:line="360" w:lineRule="auto"/>
        <w:jc w:val="both"/>
        <w:rPr>
          <w:rFonts w:ascii="Times New Roman" w:hAnsi="Times New Roman" w:cs="Times New Roman"/>
          <w:b/>
          <w:szCs w:val="24"/>
          <w:lang w:val="en-US"/>
        </w:rPr>
      </w:pPr>
      <w:r w:rsidRPr="00842337">
        <w:rPr>
          <w:rFonts w:ascii="Times New Roman" w:hAnsi="Times New Roman" w:cs="Times New Roman"/>
          <w:szCs w:val="24"/>
          <w:lang w:val="en-US"/>
        </w:rPr>
        <w:t>As the final chapter concludes, it leaves us with a sense of hope and a vision of a future where the challenges of energy scarcity and climate change are met with innovative solutions, determination, and collaboration. Dr. Amina, Ali, and the Green Energy Initiative had not just transformed a nation; they had offered the world a model for a sustainable, green, and prosperous future.</w:t>
      </w:r>
    </w:p>
    <w:p w:rsidR="005D5B77" w:rsidRPr="00842337" w:rsidRDefault="005D5B77" w:rsidP="005D5B77">
      <w:pPr>
        <w:spacing w:line="360" w:lineRule="auto"/>
        <w:jc w:val="both"/>
        <w:rPr>
          <w:rFonts w:ascii="Times New Roman" w:hAnsi="Times New Roman" w:cs="Times New Roman"/>
          <w:b/>
          <w:szCs w:val="24"/>
          <w:lang w:val="en-US"/>
        </w:rPr>
      </w:pPr>
    </w:p>
    <w:p w:rsidR="005D5B77" w:rsidRPr="00842337" w:rsidRDefault="005D5B77">
      <w:pPr>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972BA9" w:rsidRDefault="001F059E" w:rsidP="001F059E">
      <w:pPr>
        <w:pStyle w:val="Titolo1"/>
        <w:rPr>
          <w:rFonts w:ascii="Times New Roman" w:hAnsi="Times New Roman" w:cs="Times New Roman"/>
          <w:sz w:val="36"/>
          <w:szCs w:val="36"/>
          <w:lang w:val="en-US"/>
        </w:rPr>
      </w:pPr>
      <w:bookmarkStart w:id="22" w:name="_Toc149491224"/>
      <w:bookmarkStart w:id="23" w:name="_Toc148218811"/>
      <w:r w:rsidRPr="00972BA9">
        <w:rPr>
          <w:rFonts w:ascii="Times New Roman" w:hAnsi="Times New Roman" w:cs="Times New Roman"/>
          <w:sz w:val="36"/>
          <w:szCs w:val="36"/>
          <w:lang w:val="en-US"/>
        </w:rPr>
        <w:lastRenderedPageBreak/>
        <w:t xml:space="preserve">Algae Cultivator </w:t>
      </w:r>
      <w:r w:rsidR="005D5B77" w:rsidRPr="00972BA9">
        <w:rPr>
          <w:rFonts w:ascii="Times New Roman" w:hAnsi="Times New Roman" w:cs="Times New Roman"/>
          <w:sz w:val="36"/>
          <w:szCs w:val="36"/>
          <w:lang w:val="en-US"/>
        </w:rPr>
        <w:t>to</w:t>
      </w:r>
      <w:r w:rsidRPr="00972BA9">
        <w:rPr>
          <w:rFonts w:ascii="Times New Roman" w:hAnsi="Times New Roman" w:cs="Times New Roman"/>
          <w:sz w:val="36"/>
          <w:szCs w:val="36"/>
          <w:lang w:val="en-US"/>
        </w:rPr>
        <w:t xml:space="preserve"> </w:t>
      </w:r>
      <w:r w:rsidR="005D5B77" w:rsidRPr="00972BA9">
        <w:rPr>
          <w:rFonts w:ascii="Times New Roman" w:hAnsi="Times New Roman" w:cs="Times New Roman"/>
          <w:sz w:val="36"/>
          <w:szCs w:val="36"/>
          <w:lang w:val="en-US"/>
        </w:rPr>
        <w:t>SDG</w:t>
      </w:r>
      <w:r w:rsidRPr="00972BA9">
        <w:rPr>
          <w:rFonts w:ascii="Times New Roman" w:hAnsi="Times New Roman" w:cs="Times New Roman"/>
          <w:sz w:val="36"/>
          <w:szCs w:val="36"/>
          <w:lang w:val="en-US"/>
        </w:rPr>
        <w:t xml:space="preserve"> </w:t>
      </w:r>
      <w:r w:rsidR="005D5B77" w:rsidRPr="00972BA9">
        <w:rPr>
          <w:rFonts w:ascii="Times New Roman" w:hAnsi="Times New Roman" w:cs="Times New Roman"/>
          <w:sz w:val="36"/>
          <w:szCs w:val="36"/>
          <w:lang w:val="en-US"/>
        </w:rPr>
        <w:t>7.1</w:t>
      </w:r>
      <w:bookmarkEnd w:id="22"/>
    </w:p>
    <w:p w:rsidR="005D5B77" w:rsidRPr="00842337" w:rsidRDefault="005D5B77" w:rsidP="005D5B77">
      <w:pPr>
        <w:pStyle w:val="Titolo1"/>
        <w:rPr>
          <w:rFonts w:ascii="Times New Roman" w:hAnsi="Times New Roman" w:cs="Times New Roman"/>
          <w:lang w:val="en-US"/>
        </w:rPr>
      </w:pPr>
    </w:p>
    <w:p w:rsidR="005D5B77" w:rsidRPr="00842337" w:rsidRDefault="005D5B77" w:rsidP="005D5B77">
      <w:pPr>
        <w:pStyle w:val="Titolo1"/>
        <w:rPr>
          <w:rFonts w:ascii="Times New Roman" w:hAnsi="Times New Roman" w:cs="Times New Roman"/>
          <w:lang w:val="en-US"/>
        </w:rPr>
      </w:pPr>
      <w:bookmarkStart w:id="24" w:name="_Toc149491225"/>
      <w:r w:rsidRPr="00842337">
        <w:rPr>
          <w:rFonts w:ascii="Times New Roman" w:hAnsi="Times New Roman" w:cs="Times New Roman"/>
          <w:lang w:val="en-US"/>
        </w:rPr>
        <w:t>Table of Contents:</w:t>
      </w:r>
      <w:bookmarkEnd w:id="23"/>
      <w:bookmarkEnd w:id="24"/>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1: Introduction</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1.1 Understanding SDG 7.1: Affordable and Clean Energy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1.2 The Role of Microalgae in Achieving SDG 7.1</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1.3 Significance of PBRC (Photo Bio Reactor Continuous) Systems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1.4 Patent Green Technology and its Potential Impact</w:t>
      </w: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sz w:val="24"/>
          <w:szCs w:val="24"/>
          <w:lang w:val="en-US"/>
        </w:rPr>
        <w:t>1.5 Purpose and Scope of the Book</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2: Sustainable Development Goal 7.1</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2.1 The Global Energy Challenge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2.2 Overview of SDG 7.1</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2.3 Progress and Challenges in Achieving Affordable and Clean Energy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2.4 The Role of Innovation in Achieving SDG 7.1</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3: Microalgae as a Sustainable Energy Source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3.1 Introduction to Microalgae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3.2 The Energy Potential of Microalgae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3.3 Microalgae Cultivation Methods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3.4 Lipid Production and Biofuel Potential</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3.5 Co-products from Microalgae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3.6 Environmental Benefits of Microalgae-based Energy</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4: Microalgae as a Sustainable Energy Source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4.1 Microalgae as Animal Feed:</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4.2Microalgae as Biofertilizers: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4.3Microalgae for Crop Enhancement:</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5: Patent Green Technology for SDG 7.1</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5.1 Understanding the Concept of Patent Green</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5.2 The PBRC System and Patent Green Synergy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5.3 Technological Innovations in PBRC for Sustainable Energy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5.4 Patent Green's Contribution to Environmental Sustainability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5.5 Case Studies of Patent Green Technology</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lastRenderedPageBreak/>
        <w:t>Chapter 6: The Interplay of Microalgae, PBRC, and SDG 7.1</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6.1 Integrating Microalgae Cultivation with PBRC Technology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6.2 Achieving Affordable and Clean Energy Goals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6.3 The Role of Microalgae in Carbon Sequestration</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6.4 The Path to Sustainable Development</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6.5 Challenges and Opportunities</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7: Environmental and Economic Sustainability</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7.1 Environmental Impacts of Microalgae and PBRC Systems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7.2 Economic Viability and Market Potential</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7.3 Sustainable Practices in Microalgae Cultivation</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7.4 Mitigating Risks and Promoting Long-term Sustainability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8: Policy and Regulatory Frameworks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8.1. Scaling Up Microalgae Cultivation: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8.2. Microalgae in Circular Economies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8 3. Microalgae and Sustainable Aquaculture: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8.4. Carbon Capture and Utilization (CCU):</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8.5. Microalgae Bioremediation: International Collaboration and Knowledge Sharing:</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9: Policy and Regulatory Frameworks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9.1 Government Initiatives and Support</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9.2 Regulatory Challenges and Solutions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9.3 International Agreements and Commitments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9.4 A Vision for the Future</w:t>
      </w:r>
    </w:p>
    <w:p w:rsidR="005D5B77" w:rsidRPr="00842337" w:rsidRDefault="005D5B77" w:rsidP="005D5B77">
      <w:pPr>
        <w:spacing w:line="360" w:lineRule="auto"/>
        <w:jc w:val="both"/>
        <w:rPr>
          <w:rFonts w:ascii="Times New Roman" w:hAnsi="Times New Roman" w:cs="Times New Roman"/>
          <w:b/>
          <w:bCs/>
          <w:sz w:val="24"/>
          <w:szCs w:val="24"/>
          <w:lang w:val="en-US"/>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10: The Way Forward</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10.1 Sustainable Energy Goals and Beyond</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10.2 Collaborative Efforts for a Greener Future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10.3 Key Takeaways</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10.4 Final Thoughts</w:t>
      </w:r>
      <w:r w:rsidRPr="00842337">
        <w:rPr>
          <w:rFonts w:ascii="Times New Roman" w:hAnsi="Times New Roman" w:cs="Times New Roman"/>
          <w:sz w:val="24"/>
          <w:szCs w:val="24"/>
          <w:lang w:val="en-US"/>
        </w:rPr>
        <w:br w:type="page"/>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pStyle w:val="Titolo1"/>
        <w:rPr>
          <w:rFonts w:ascii="Times New Roman" w:hAnsi="Times New Roman" w:cs="Times New Roman"/>
          <w:lang w:val="en-US"/>
        </w:rPr>
      </w:pPr>
      <w:bookmarkStart w:id="25" w:name="_Toc148218812"/>
      <w:bookmarkStart w:id="26" w:name="_Toc149491226"/>
      <w:r w:rsidRPr="00842337">
        <w:rPr>
          <w:rFonts w:ascii="Times New Roman" w:hAnsi="Times New Roman" w:cs="Times New Roman"/>
          <w:lang w:val="en-US"/>
        </w:rPr>
        <w:t>Introduction</w:t>
      </w:r>
      <w:bookmarkEnd w:id="25"/>
      <w:bookmarkEnd w:id="26"/>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 a world striving to meet the pressing need for affordable and clean energy, Sustainable Development Goal 7.1 (SDG 7.1) stands as a beacon of hope and a call to action. This chapter introduces the fundamental concepts that will be explored in this book - the role of microalgae and Photo Bio Reactor Continuous (PBRC) systems, along with the innovative Patent Green technology, in addressing the challenges and opportunities presented by SDG 7.1.</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1.1 Understanding SDG 7.1: Affordable and Clean Energy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The 17 Sustainable Development Goals (SDGs) set forth by the United Nations are a universal call to action to end poverty, protect the planet, and ensure prosperity for all. </w:t>
      </w:r>
      <w:r w:rsidRPr="00842337">
        <w:rPr>
          <w:rFonts w:ascii="Times New Roman" w:hAnsi="Times New Roman" w:cs="Times New Roman"/>
          <w:sz w:val="24"/>
          <w:szCs w:val="24"/>
        </w:rPr>
        <w:lastRenderedPageBreak/>
        <w:t>SDG 7 specifically focuses on ensuring access to affordable, reliable, sustainable, and modern energy for all. Target 7.1, one of the specific goals under SDG 7, highlights the importance of ensuring universal access to affordable, reliable, and modern energy services.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Despite significant progress in expanding energy access and reducing reliance on fossil fuels, the world is still grappling with the challenges of energy poverty, environmental degradation, and climate change. Achieving SDG 7.1 is pivotal to not only addressing these challenges but also fostering economic growth, reducing inequalities, and safeguarding the environment.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1.2 The Role of Microalgae in Achieving SDG 7.1</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Microalgae, often microscopic unicellular organisms that harness the power of photosynthesis, have emerged as a promising solution in the quest for sustainable energy. Their ability to efficiently convert sunlight and carbon </w:t>
      </w:r>
      <w:r w:rsidRPr="00842337">
        <w:rPr>
          <w:rFonts w:ascii="Times New Roman" w:hAnsi="Times New Roman" w:cs="Times New Roman"/>
          <w:sz w:val="24"/>
          <w:szCs w:val="24"/>
        </w:rPr>
        <w:lastRenderedPageBreak/>
        <w:t>dioxide into biomass, rich in lipids and other valuable compounds, makes them an attractive candidate for biofuel production. The cultivation of microalgae presents a viable and renewable energy source with the potential to contribute significantly to SDG 7.1.</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This chapter will delve into the various aspects of microalgae, from their cultivation techniques to the co-products they offer, their environmental benefits, and their role in clean and affordable energy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1.3 Significance of PBRC (Photo Bio Reactor Continuous) Systems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To harness the full potential of microalgae for energy generation, innovative systems like the Photo Bio Reactor Continuous (PBRC) have been developed. PBRC systems are designed to provide a controlled environment for optimal microalgae growth, ensuring consistent production of biomass, lipids, and other valuable products. These </w:t>
      </w:r>
      <w:r w:rsidRPr="00842337">
        <w:rPr>
          <w:rFonts w:ascii="Times New Roman" w:hAnsi="Times New Roman" w:cs="Times New Roman"/>
          <w:sz w:val="24"/>
          <w:szCs w:val="24"/>
        </w:rPr>
        <w:lastRenderedPageBreak/>
        <w:t>closed-loop systems offer advantages in terms of scalability, energy efficiency, and reduced contamination risks.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Throughout this book, we will explore the intricacies of PBRC technology, its components, and its successful application in microalgae cultivation for sustainable energy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1.4 Patent Green Technology and its Potential Impact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An essential component of this book's narrative is the concept of Patent Green technology. This innovative approach emphasizes the integration of microalgae and PBRC systems to achieve not only sustainable energy production but also environmental benefits. By protecting and optimizing microalgae cultivation through patented methods and technologies, Patent Green enhances the reliability and effectiveness of microalgae-based energy solutions.</w:t>
      </w: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1.5 Purpose and Scope of the Book</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This book aims to provide a comprehensive understanding of the interplay between microalgae, PBRC technology, and SDG 7.1. It will explore how these elements, in synergy with Patent Green technology, hold the potential to address the global energy challenge and advance sustainable development. Through case studies, policy discussions, and a forward-looking vision, this book will equip researchers, policymakers, and stakeholders with the knowledge and insights needed to make informed decisions and contribute to a greener, more sustainable future. </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4A54FD" w:rsidRDefault="005D5B77" w:rsidP="004A54FD">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 the chapters that follow, we will delve deeper into each of these elements, providing a holistic view of the journey towards achieving SDG 7.1 through the utilization of microalgae and innovative technologies like PBRC and Patent Green.</w:t>
      </w:r>
      <w:bookmarkStart w:id="27" w:name="_Toc148218813"/>
    </w:p>
    <w:p w:rsidR="005D5B77" w:rsidRPr="00E06770" w:rsidRDefault="005D5B77" w:rsidP="004A54FD">
      <w:pPr>
        <w:pStyle w:val="Titolo1"/>
        <w:rPr>
          <w:sz w:val="24"/>
          <w:szCs w:val="24"/>
          <w:lang w:val="en-US"/>
        </w:rPr>
      </w:pPr>
      <w:bookmarkStart w:id="28" w:name="_Toc149491227"/>
      <w:r w:rsidRPr="00E06770">
        <w:rPr>
          <w:lang w:val="en-US"/>
        </w:rPr>
        <w:lastRenderedPageBreak/>
        <w:t>Sustainable Development Goal 7.1</w:t>
      </w:r>
      <w:bookmarkEnd w:id="27"/>
      <w:bookmarkEnd w:id="28"/>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global energy landscape is undergoing a profound transformation, and Sustainable Development Goal 7.1 (SDG 7.1) serves as a vital compass in guiding this transition towards affordable and clean energy solutions. This chapter provides an in-depth exploration of the challenges and opportunities presented by SDG 7.1 and its significance on a global scale.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2.1 The Global Energy Challenge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Energy is the lifeblood of modern society, driving economic growth, technological progress, and improvements in living standards. However, the global energy challenge is multifaceted, characterized by several key issues: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Energy Poverty:</w:t>
      </w:r>
      <w:r w:rsidRPr="00842337">
        <w:rPr>
          <w:rFonts w:ascii="Times New Roman" w:hAnsi="Times New Roman" w:cs="Times New Roman"/>
          <w:sz w:val="24"/>
          <w:szCs w:val="24"/>
        </w:rPr>
        <w:t xml:space="preserve"> While many regions have made substantial progress in expanding energy access, a </w:t>
      </w:r>
      <w:r w:rsidRPr="00842337">
        <w:rPr>
          <w:rFonts w:ascii="Times New Roman" w:hAnsi="Times New Roman" w:cs="Times New Roman"/>
          <w:sz w:val="24"/>
          <w:szCs w:val="24"/>
        </w:rPr>
        <w:lastRenderedPageBreak/>
        <w:t>significant portion of the world's population still lacks reliable and affordable access to modern energy services. Energy poverty perpetuates social and economic disparities, limiting opportunities for education, healthcare, and economic development.</w:t>
      </w: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 Environmental Degradation:</w:t>
      </w:r>
      <w:r w:rsidRPr="00842337">
        <w:rPr>
          <w:rFonts w:ascii="Times New Roman" w:hAnsi="Times New Roman" w:cs="Times New Roman"/>
          <w:sz w:val="24"/>
          <w:szCs w:val="24"/>
        </w:rPr>
        <w:t xml:space="preserve"> The conventional sources of energy, primarily fossil fuels, have contributed to environmental degradation on an unprecedented scale. Greenhouse gas emissions from energy production are the leading cause of climate change, and the extraction and combustion of fossil fuels have severe consequences for air and water quality.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 Energy Security:</w:t>
      </w:r>
      <w:r w:rsidRPr="00842337">
        <w:rPr>
          <w:rFonts w:ascii="Times New Roman" w:hAnsi="Times New Roman" w:cs="Times New Roman"/>
          <w:sz w:val="24"/>
          <w:szCs w:val="24"/>
        </w:rPr>
        <w:t xml:space="preserve"> Global energy markets are highly interdependent, making countries vulnerable to energy supply disruptions and price fluctuations. Diversifying energy sources and enhancing energy security are critical objectives for many nations.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lastRenderedPageBreak/>
        <w:t>2.2 Overview of SDG 7.1</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Recognizing the urgency of addressing these energy-related challenges, SDG 7.1 was formulated as part of the United Nations' Sustainable Development Goals. The specific objectives of SDG 7.1 include: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Universal Energy Access:</w:t>
      </w:r>
      <w:r w:rsidRPr="00842337">
        <w:rPr>
          <w:rFonts w:ascii="Times New Roman" w:hAnsi="Times New Roman" w:cs="Times New Roman"/>
          <w:sz w:val="24"/>
          <w:szCs w:val="24"/>
        </w:rPr>
        <w:t xml:space="preserve"> Ensuring that everyone has access to affordable, reliable, sustainable, and modern energy services by 2030. This extends to both urban and rural areas, fostering inclusivity and reducing energy poverty.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 Renewable Energy Adoption:</w:t>
      </w:r>
      <w:r w:rsidRPr="00842337">
        <w:rPr>
          <w:rFonts w:ascii="Times New Roman" w:hAnsi="Times New Roman" w:cs="Times New Roman"/>
          <w:sz w:val="24"/>
          <w:szCs w:val="24"/>
        </w:rPr>
        <w:t xml:space="preserve"> Increasing the share of renewable energy in the global energy mix, with a focus on enhancing energy efficiency, reducing greenhouse gas emissions, and transitioning away from fossil fuels.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 Energy Sustainability:</w:t>
      </w:r>
      <w:r w:rsidRPr="00842337">
        <w:rPr>
          <w:rFonts w:ascii="Times New Roman" w:hAnsi="Times New Roman" w:cs="Times New Roman"/>
          <w:sz w:val="24"/>
          <w:szCs w:val="24"/>
        </w:rPr>
        <w:t xml:space="preserve"> Promoting energy sustainability by encouraging responsible consumption and production </w:t>
      </w:r>
      <w:r w:rsidRPr="00842337">
        <w:rPr>
          <w:rFonts w:ascii="Times New Roman" w:hAnsi="Times New Roman" w:cs="Times New Roman"/>
          <w:sz w:val="24"/>
          <w:szCs w:val="24"/>
        </w:rPr>
        <w:lastRenderedPageBreak/>
        <w:t>patterns. This includes minimizing waste, reducing energy intensity, and supporting research and innovation in sustainable energy technologies.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2.3 Progress and Challenges in Achieving Affordable and Clean Energy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we assess global progress toward achieving SDG 7.1, it is evident that both successes and challenges persist: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Successes</w:t>
      </w:r>
      <w:r w:rsidRPr="00842337">
        <w:rPr>
          <w:rFonts w:ascii="Times New Roman" w:hAnsi="Times New Roman" w:cs="Times New Roman"/>
          <w:sz w:val="24"/>
          <w:szCs w:val="24"/>
        </w:rPr>
        <w:t>: Significant progress has been made in extending energy access to previously underserved populations, particularly in developing countries. The adoption of renewable energy sources has also grown steadily, with remarkable advancements in solar, wind, and hydropower technologies. These achievements highlight the transformative potential of sustainable energy solutions.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b. Challenges:</w:t>
      </w:r>
      <w:r w:rsidRPr="00842337">
        <w:rPr>
          <w:rFonts w:ascii="Times New Roman" w:hAnsi="Times New Roman" w:cs="Times New Roman"/>
          <w:sz w:val="24"/>
          <w:szCs w:val="24"/>
        </w:rPr>
        <w:t xml:space="preserve"> The challenge of achieving universal energy access remains formidable, especially in regions with limited infrastructure and resources. The transition to clean energy sources faces resistance from entrenched fossil fuel industries and infrastructural barriers. Additionally, policy and regulatory frameworks, financing mechanisms, and public awareness remain key challenges in achieving SDG 7.1.</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2.4 The Role of Innovation in Achieving SDG 7.1</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Innovation plays a pivotal role in addressing the challenges associated with SDG 7.1. Innovative technologies, like the integration of microalgae and Photo Bio Reactor Continuous (PBRC) systems, can contribute to expanding access to clean and affordable energy. These technologies have the potential to reduce the environmental impact of energy production and improve energy security.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Throughout this book, we will explore how innovative solutions and novel approaches, such as Patent Green, are contributing to the achievement of SDG 7.1 by fostering a sustainable, equitable, and green energy future.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29" w:name="_Toc148218814"/>
      <w:bookmarkStart w:id="30" w:name="_Toc149491228"/>
      <w:r w:rsidRPr="00842337">
        <w:rPr>
          <w:rFonts w:ascii="Times New Roman" w:hAnsi="Times New Roman" w:cs="Times New Roman"/>
          <w:lang w:val="en-US"/>
        </w:rPr>
        <w:lastRenderedPageBreak/>
        <w:t>Microalgae as a Sustainable Energy Source</w:t>
      </w:r>
      <w:bookmarkEnd w:id="29"/>
      <w:bookmarkEnd w:id="30"/>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 often overlooked but increasingly significant, have become a focal point in the pursuit of sustainable energy solutions. This chapter delves into the world of microalgae, exploring their cultivation, energy potential, and the various environmental and economic benefits they offer as a renewable energy source.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3.1 Introduction to Microalgae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Microalgae, as the name suggests, are microscopic, single-celled organisms that are abundant in aquatic environments. They are a diverse group of organisms belonging to various taxonomic groups, including green algae, diatoms, and cyanobacteria. Microalgae are well adapted to a wide range of environmental conditions and are capable of photosynthesis, which means they can convert sunlight into chemical energy. This remarkable </w:t>
      </w:r>
      <w:r w:rsidRPr="00842337">
        <w:rPr>
          <w:rFonts w:ascii="Times New Roman" w:hAnsi="Times New Roman" w:cs="Times New Roman"/>
          <w:sz w:val="24"/>
          <w:szCs w:val="24"/>
        </w:rPr>
        <w:lastRenderedPageBreak/>
        <w:t>ability is the foundation of their role as potential biofuel producers.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3.2 The Energy Potential of Microalgae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 are a powerhouse of energy potential. Here are some of the key aspects that make them an attractive candidate for sustainable energy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High Growth Rate:</w:t>
      </w:r>
      <w:r w:rsidRPr="00842337">
        <w:rPr>
          <w:rFonts w:ascii="Times New Roman" w:hAnsi="Times New Roman" w:cs="Times New Roman"/>
          <w:sz w:val="24"/>
          <w:szCs w:val="24"/>
        </w:rPr>
        <w:t xml:space="preserve"> Microalgae have an exceptionally high growth rate, often doubling their biomass in a matter of hours. This rapid growth makes them a prolific source of biomass for biofuel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 Lipid Production:</w:t>
      </w:r>
      <w:r w:rsidRPr="00842337">
        <w:rPr>
          <w:rFonts w:ascii="Times New Roman" w:hAnsi="Times New Roman" w:cs="Times New Roman"/>
          <w:sz w:val="24"/>
          <w:szCs w:val="24"/>
        </w:rPr>
        <w:t xml:space="preserve"> Some species of microalgae are particularly rich in lipids, which can be converted into biodiesel or other biofuels. The high lipid content of certain microalgae species is a significant advantage in the biofuel industry.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c. CO2 Sequestration:</w:t>
      </w:r>
      <w:r w:rsidRPr="00842337">
        <w:rPr>
          <w:rFonts w:ascii="Times New Roman" w:hAnsi="Times New Roman" w:cs="Times New Roman"/>
          <w:sz w:val="24"/>
          <w:szCs w:val="24"/>
        </w:rPr>
        <w:t xml:space="preserve"> Microalgae can capture and utilize carbon dioxide during photosynthesis, helping to mitigate greenhouse gas emissions and combat climate change.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3.3 Microalgae Cultivation Methods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Cultivating microalgae for energy production requires careful attention to environmental conditions, including temperature, light, nutrient availability, and pH. Various cultivation methods are employed to optimize growth and lipid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Open Pond Systems:</w:t>
      </w:r>
      <w:r w:rsidRPr="00842337">
        <w:rPr>
          <w:rFonts w:ascii="Times New Roman" w:hAnsi="Times New Roman" w:cs="Times New Roman"/>
          <w:sz w:val="24"/>
          <w:szCs w:val="24"/>
        </w:rPr>
        <w:t xml:space="preserve"> These are large, shallow ponds where microalgae are grown. While cost-effective, open ponds are vulnerable to contamination and have limited control over environmental factors.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 Closed Photobioreactors:</w:t>
      </w:r>
      <w:r w:rsidRPr="00842337">
        <w:rPr>
          <w:rFonts w:ascii="Times New Roman" w:hAnsi="Times New Roman" w:cs="Times New Roman"/>
          <w:sz w:val="24"/>
          <w:szCs w:val="24"/>
        </w:rPr>
        <w:t xml:space="preserve"> Closed systems, like the Photo Bio Reactor Continuous (PBRC) mentioned earlier, provide a controlled environment that minimizes </w:t>
      </w:r>
      <w:r w:rsidRPr="00842337">
        <w:rPr>
          <w:rFonts w:ascii="Times New Roman" w:hAnsi="Times New Roman" w:cs="Times New Roman"/>
          <w:sz w:val="24"/>
          <w:szCs w:val="24"/>
        </w:rPr>
        <w:lastRenderedPageBreak/>
        <w:t>contamination and optimizes growth conditions. These systems are scalable and can be tailored to specific microalgae species.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 Hybrid Systems:</w:t>
      </w:r>
      <w:r w:rsidRPr="00842337">
        <w:rPr>
          <w:rFonts w:ascii="Times New Roman" w:hAnsi="Times New Roman" w:cs="Times New Roman"/>
          <w:sz w:val="24"/>
          <w:szCs w:val="24"/>
        </w:rPr>
        <w:t xml:space="preserve"> Hybrid systems combine the advantages of both open ponds and closed photobioreactors, offering a balance between cost-effectiveness and controlled conditions.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3.4 Lipid Production and Biofuel Potential</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One of the most promising aspects of microalgae cultivation is their potential to produce lipids, particularly triglycerides, which can be converted into biodiesel. Microalgae-derived biodiesel has several advantages, including:</w:t>
      </w: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High Energy Content:</w:t>
      </w:r>
      <w:r w:rsidRPr="00842337">
        <w:rPr>
          <w:rFonts w:ascii="Times New Roman" w:hAnsi="Times New Roman" w:cs="Times New Roman"/>
          <w:sz w:val="24"/>
          <w:szCs w:val="24"/>
        </w:rPr>
        <w:t xml:space="preserve"> Microalgae-derived biodiesel has a high energy content, making it an efficient source of renewable energy.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 Reduced Greenhouse Gas Emissions:</w:t>
      </w:r>
      <w:r w:rsidRPr="00842337">
        <w:rPr>
          <w:rFonts w:ascii="Times New Roman" w:hAnsi="Times New Roman" w:cs="Times New Roman"/>
          <w:sz w:val="24"/>
          <w:szCs w:val="24"/>
        </w:rPr>
        <w:t xml:space="preserve"> Biodiesel from microalgae is considered carbon-neutral, as the carbon dioxide released during combustion is offset by the carbon dioxide absorbed during cultivation.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 Versatility:</w:t>
      </w:r>
      <w:r w:rsidRPr="00842337">
        <w:rPr>
          <w:rFonts w:ascii="Times New Roman" w:hAnsi="Times New Roman" w:cs="Times New Roman"/>
          <w:sz w:val="24"/>
          <w:szCs w:val="24"/>
        </w:rPr>
        <w:t xml:space="preserve"> Microalgae-derived lipids can also be used to produce a variety of biofuels and valuable co-products, expanding their utility.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3.5 Co-products from Microalgae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Beyond biofuel production, microalgae offer a range of co-products with economic and environmental benefits: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High-Value Nutraceuticals: Some microalgae species are rich in compounds like Omega-3 fatty acids, antioxidants, and pigments, which have applications in pharmaceuticals, food supplements, and cosmetics.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b. Animal Feed:</w:t>
      </w:r>
      <w:r w:rsidRPr="00842337">
        <w:rPr>
          <w:rFonts w:ascii="Times New Roman" w:hAnsi="Times New Roman" w:cs="Times New Roman"/>
          <w:sz w:val="24"/>
          <w:szCs w:val="24"/>
        </w:rPr>
        <w:t xml:space="preserve"> Microalgae can be used as a protein-rich feed supplement for livestock and aquaculture, reducing the environmental impact of conventional feed sources.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 Wastewater Treatment:</w:t>
      </w:r>
      <w:r w:rsidRPr="00842337">
        <w:rPr>
          <w:rFonts w:ascii="Times New Roman" w:hAnsi="Times New Roman" w:cs="Times New Roman"/>
          <w:sz w:val="24"/>
          <w:szCs w:val="24"/>
        </w:rPr>
        <w:t xml:space="preserve"> Microalgae can help in wastewater treatment by absorbing nutrients like nitrogen and phosphorus, improving water quality.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3.6 Environmental Benefits of Microalgae-based Energy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Microalgae-based energy production offers numerous environmental advantages: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a. Carbon Sequestration:</w:t>
      </w:r>
      <w:r w:rsidRPr="00842337">
        <w:rPr>
          <w:rFonts w:ascii="Times New Roman" w:hAnsi="Times New Roman" w:cs="Times New Roman"/>
          <w:sz w:val="24"/>
          <w:szCs w:val="24"/>
        </w:rPr>
        <w:t xml:space="preserve"> Microalgae capture and utilize carbon dioxide during growth, helping to mitigate climate change by sequestering carbon.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b. Reduced Land Footprint:</w:t>
      </w:r>
      <w:r w:rsidRPr="00842337">
        <w:rPr>
          <w:rFonts w:ascii="Times New Roman" w:hAnsi="Times New Roman" w:cs="Times New Roman"/>
          <w:sz w:val="24"/>
          <w:szCs w:val="24"/>
        </w:rPr>
        <w:t xml:space="preserve"> Microalgae cultivation requires less land compared to conventional biofuel crops like corn or sugarcane.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Minimized Water Usage: Many microalgae species can be cultivated in brackish or saline water, reducing competition with freshwater resources.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This chapter sets the stage for a more detailed exploration of microalgae's potential to contribute to Sustainable Development Goal 7.1 by offering a renewable, clean, and economically viable energy source. Subsequent chapters will delve into the technologies and innovations that make microalgae-based energy a reality, highlighting the promise they hold for a more sustainable energy future.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Microalgae are a powerhouse of natural productivity, and their potential as a renewable energy source is a topic of great interest and innovation. In this chapter, we will delve into how microalgae can be harnessed to produce various </w:t>
      </w:r>
      <w:r w:rsidRPr="00842337">
        <w:rPr>
          <w:rFonts w:ascii="Times New Roman" w:hAnsi="Times New Roman" w:cs="Times New Roman"/>
          <w:sz w:val="24"/>
          <w:szCs w:val="24"/>
        </w:rPr>
        <w:lastRenderedPageBreak/>
        <w:t>forms of renewable energy, from biofuels to hydrogen and methane.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31" w:name="_Toc148218815"/>
      <w:bookmarkStart w:id="32" w:name="_Toc149491229"/>
      <w:r w:rsidRPr="00842337">
        <w:rPr>
          <w:rFonts w:ascii="Times New Roman" w:hAnsi="Times New Roman" w:cs="Times New Roman"/>
          <w:lang w:val="en-US"/>
        </w:rPr>
        <w:lastRenderedPageBreak/>
        <w:t>Microalgae in Sustainable Agriculture</w:t>
      </w:r>
      <w:bookmarkEnd w:id="31"/>
      <w:bookmarkEnd w:id="32"/>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Sustainable agriculture is not only vital for ensuring food security but also for promoting rural development and environmental conservation. Microalgae offers unique advantages that can enhance various aspects of sustainable agriculture, making it more efficient, eco-friendly, and resilient. In this chapter, we will explore how microalgae are contributing to sustainable agriculture practices.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spacing w:line="360" w:lineRule="auto"/>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Microalgae as Biofertilizers: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Traditional chemical fertilizers can lead to soil degradation, water pollution, and increased greenhouse gas emissions. Microalgae-based biofertilizers provide a more sustainable and eco-friendly alternative. These biofertilizers are rich in essential nutrients, such as nitrogen, phosphorus, and potassium, which are crucial for plant growth.</w:t>
      </w: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lastRenderedPageBreak/>
        <w:t>The advantages of microalgae-based biofertilizers include: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Nutrient Content: Microalgae are nutrient-dense, containing a wide range of essential elements that plants require for optimal growth.</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6"/>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Improved Soil Health:</w:t>
      </w:r>
      <w:r w:rsidRPr="00842337">
        <w:rPr>
          <w:rFonts w:ascii="Times New Roman" w:hAnsi="Times New Roman" w:cs="Times New Roman"/>
          <w:sz w:val="24"/>
          <w:szCs w:val="24"/>
        </w:rPr>
        <w:t xml:space="preserve"> The organic matter in microalgae-based biofertilizers enhances soil structure, water retention, and microbial activity, ultimately improving soil health and fertility.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6"/>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Reduced Environmental Impact</w:t>
      </w:r>
      <w:r w:rsidRPr="00842337">
        <w:rPr>
          <w:rFonts w:ascii="Times New Roman" w:hAnsi="Times New Roman" w:cs="Times New Roman"/>
          <w:sz w:val="24"/>
          <w:szCs w:val="24"/>
        </w:rPr>
        <w:t>: Using microalgae-based biofertilizers reduces the environmental impact associated with the production and application of traditional chemical fertilizers.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6"/>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Microbial Associations:</w:t>
      </w:r>
      <w:r w:rsidRPr="00842337">
        <w:rPr>
          <w:rFonts w:ascii="Times New Roman" w:hAnsi="Times New Roman" w:cs="Times New Roman"/>
          <w:sz w:val="24"/>
          <w:szCs w:val="24"/>
        </w:rPr>
        <w:t xml:space="preserve"> Microalgae have symbiotic relationships with beneficial microorganisms, further promoting plant growth and overall ecosystem health.</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Microalgae for Crop Enhancement: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Microalgae-based products can directly enhance crop growth and productivity. These enhancements include: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i/>
          <w:iCs/>
          <w:sz w:val="24"/>
          <w:szCs w:val="24"/>
        </w:rPr>
        <w:t>Biostimulants:</w:t>
      </w:r>
      <w:r w:rsidRPr="00842337">
        <w:rPr>
          <w:rFonts w:ascii="Times New Roman" w:hAnsi="Times New Roman" w:cs="Times New Roman"/>
          <w:sz w:val="24"/>
          <w:szCs w:val="24"/>
        </w:rPr>
        <w:t xml:space="preserve"> Microalgae-based </w:t>
      </w:r>
      <w:r w:rsidRPr="00842337">
        <w:rPr>
          <w:rFonts w:ascii="Times New Roman" w:hAnsi="Times New Roman" w:cs="Times New Roman"/>
          <w:i/>
          <w:iCs/>
          <w:sz w:val="24"/>
          <w:szCs w:val="24"/>
        </w:rPr>
        <w:t>biostimulants</w:t>
      </w:r>
      <w:r w:rsidRPr="00842337">
        <w:rPr>
          <w:rFonts w:ascii="Times New Roman" w:hAnsi="Times New Roman" w:cs="Times New Roman"/>
          <w:sz w:val="24"/>
          <w:szCs w:val="24"/>
        </w:rPr>
        <w:t xml:space="preserve"> contain natural growth-promoting compounds that stimulate plant growth, increase stress resistance, and improve crop quality.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Microalgal Extracts:</w:t>
      </w:r>
      <w:r w:rsidRPr="00842337">
        <w:rPr>
          <w:rFonts w:ascii="Times New Roman" w:hAnsi="Times New Roman" w:cs="Times New Roman"/>
          <w:sz w:val="24"/>
          <w:szCs w:val="24"/>
        </w:rPr>
        <w:t xml:space="preserve"> Extracts from certain microalgae species can be used to protect plants from diseases and pests, reducing the need for chemical pesticides.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Microalgal Inoculants:</w:t>
      </w:r>
      <w:r w:rsidRPr="00842337">
        <w:rPr>
          <w:rFonts w:ascii="Times New Roman" w:hAnsi="Times New Roman" w:cs="Times New Roman"/>
          <w:sz w:val="24"/>
          <w:szCs w:val="24"/>
        </w:rPr>
        <w:t xml:space="preserve"> Some microalgae can form symbiotic relationships with plants, enhancing nutrient uptake and overall crop performance.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Algal-Derived Nutraceuticals:</w:t>
      </w:r>
      <w:r w:rsidRPr="00842337">
        <w:rPr>
          <w:rFonts w:ascii="Times New Roman" w:hAnsi="Times New Roman" w:cs="Times New Roman"/>
          <w:sz w:val="24"/>
          <w:szCs w:val="24"/>
        </w:rPr>
        <w:t xml:space="preserve"> Some microalgae are cultivated for their high-value nutraceutical compounds, which can improve the health and nutritional value of crops.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Microalgae as Animal Feed:</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 are not limited to enhancing plant-based agriculture; they are also vital in the production of sustainable animal feed. The cultivation of microalgae, such as Chlorella and Spirulina, is an excellent source of protein, vitamins, and essential fatty acids for livestock and aquaculture.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benefits of using microalgae in animal feed include: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High Nutrient Density: Microalgae are rich in proteins, amino acids, and essential nutrients, making them a valuable dietary addition for animal health and growth.</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Sustainable Protein Source:</w:t>
      </w:r>
      <w:r w:rsidRPr="00842337">
        <w:rPr>
          <w:rFonts w:ascii="Times New Roman" w:hAnsi="Times New Roman" w:cs="Times New Roman"/>
          <w:sz w:val="24"/>
          <w:szCs w:val="24"/>
        </w:rPr>
        <w:t xml:space="preserve"> Microalgae cultivation has a smaller environmental footprint compared to traditional animal protein sources like soybean or fishmeal.</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Improved Nutritional Value:</w:t>
      </w:r>
      <w:r w:rsidRPr="00842337">
        <w:rPr>
          <w:rFonts w:ascii="Times New Roman" w:hAnsi="Times New Roman" w:cs="Times New Roman"/>
          <w:sz w:val="24"/>
          <w:szCs w:val="24"/>
        </w:rPr>
        <w:t xml:space="preserve"> The addition of microalgae to animal feed can enhance the nutritional quality of meat, eggs, and dairy products.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Reduced Overfishing:</w:t>
      </w:r>
      <w:r w:rsidRPr="00842337">
        <w:rPr>
          <w:rFonts w:ascii="Times New Roman" w:hAnsi="Times New Roman" w:cs="Times New Roman"/>
          <w:sz w:val="24"/>
          <w:szCs w:val="24"/>
        </w:rPr>
        <w:t xml:space="preserve"> Microalgae-based feeds reduce the pressure on marine ecosystems by reducing the demand for fishmeal in aquaculture.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Summary: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By incorporating microalgae into sustainable agriculture and animal husbandry, we can not only improve food production but also contribute to ecological and environmental sustainability. As we strive to achieve Sustainable Development Goal 7.1, recognizing the interconnections between energy access and agriculture is </w:t>
      </w:r>
      <w:r w:rsidRPr="00842337">
        <w:rPr>
          <w:rFonts w:ascii="Times New Roman" w:hAnsi="Times New Roman" w:cs="Times New Roman"/>
          <w:sz w:val="24"/>
          <w:szCs w:val="24"/>
        </w:rPr>
        <w:lastRenderedPageBreak/>
        <w:t>critical for building a sustainable and equitable future. In the next chapters, we will explore how microalgae contribute to environmental conservation and how technological advances are making their integration into agriculture more efficient and accessible.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33" w:name="_Toc148218816"/>
      <w:bookmarkStart w:id="34" w:name="_Toc149491230"/>
      <w:r w:rsidRPr="00842337">
        <w:rPr>
          <w:rFonts w:ascii="Times New Roman" w:hAnsi="Times New Roman" w:cs="Times New Roman"/>
          <w:lang w:val="en-US"/>
        </w:rPr>
        <w:lastRenderedPageBreak/>
        <w:t>Patent Green Technology for SDG 7.1</w:t>
      </w:r>
      <w:bookmarkEnd w:id="33"/>
      <w:bookmarkEnd w:id="34"/>
    </w:p>
    <w:p w:rsidR="005D5B77" w:rsidRPr="00842337" w:rsidRDefault="005D5B77" w:rsidP="005D5B77">
      <w:pPr>
        <w:rPr>
          <w:rFonts w:ascii="Times New Roman" w:hAnsi="Times New Roman" w:cs="Times New Roman"/>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the pursuit of Sustainable Development Goal 7.1 (SDG 7.1), which focuses on affordable and clean energy, innovative technologies play a pivotal role in transforming the global energy landscape. This chapter introduces Patent Green technology, a novel approach that synergizes microalgae cultivation with the Photo Bio Reactor Continuous (PBRC) system to enhance the reliability and effectiveness of microalgae-based energy solutions. We will explore the concept of Patent Green, its role in achieving SDG 7.1, and the innovative contributions it brings to the quest for sustainable energy solutions.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5.1 Understanding the Concept of Patent Green</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The concept of Patent Green represents a fusion of cutting-edge ideas and technologies, aimed at elevating the </w:t>
      </w:r>
      <w:r w:rsidRPr="00842337">
        <w:rPr>
          <w:rFonts w:ascii="Times New Roman" w:hAnsi="Times New Roman" w:cs="Times New Roman"/>
          <w:sz w:val="24"/>
          <w:szCs w:val="24"/>
          <w:lang w:val="en-US"/>
        </w:rPr>
        <w:lastRenderedPageBreak/>
        <w:t>efficiency and sustainability of microalgae-based energy production. At its core, Patent Green is driven by the belief that innovation and intellectual property protection are critical in advancing the clean energy agenda.</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5.2 The PBRC System and Patent Green Synergy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 fundamental aspect of Patent Green is its close association with the Photo Bio Reactor Continuous (PBRC) system. PBRC technology provides a controlled environment for microalgae cultivation, offering advantages in terms of scalability, environmental control, and reduced contamination risks. When integrated with Patent Green, these systems become more efficient, productive, and reliable. The synergy between PBRC and Patent Green contributes to:</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a. Enhanced Biomass Production: Microalgae cultivation within PBRC systems is optimized for maximum biomass production. Patent Green methods further enhance this process, increasing the biomass yield and energy potential.</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Nutrient Recycling: Patent Green technology focuses on closed-loop systems, minimizing resource wastage. Nutrients and resources are efficiently recycled within the system, reducing the environmental impact and operational costs.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 Intellectual Property Protection: Patent Green emphasizes the importance of intellectual property protection for microalgae strains and cultivation methods, ensuring that innovations are safeguarded and incentivizing further research and development.</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5.3 Technological Innovations in PBRC for Sustainable Energy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 Green technology incorporates innovative solutions that bolster the sustainability and efficiency of PBRC systems: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 Advanced Monitoring and Control: Real-time monitoring and automation systems are integrated into PBRC setups. These technologies optimize growth conditions, reduce errors, and enhance overall performance.</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Algal Genetic Engineering: Genetic engineering techniques are employed to modify microalgae strains for improved lipid production and resilience to environmental changes.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 Carbon Capture and Utilization: Patent Green promotes the integration of carbon capture and utilization technologies, which further mitigate greenhouse gas emissions by capturing and utilizing carbon dioxide during microalgae cultivation.</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5.4 Patent Green's Contribution to Environmental Sustainability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 Green technology's impact on environmental sustainability is multi-faceted:</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 Reduced Carbon Footprint: The integrated approach to microalgae cultivation and PBRC technology results in a reduced carbon footprint through energy-efficient processes and carbon sequestration.</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Water Conservation: The closed-loop nature of PBRC systems minimizes water usage, making them environmentally friendly and less water-intensive compared to conventional energy production methods.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 Reduced Land Use: Microalgae cultivation within compact PBRC systems requires less land compared to traditional agriculture, helping preserve natural ecosystems.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5.5 Case Studies of Patent Green Technology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This chapter will also showcase practical examples of how Patent Green technology has been applied in various contexts. Case studies will explore success stories, highlighting how Patent Green technology and PBRC </w:t>
      </w:r>
      <w:r w:rsidRPr="00842337">
        <w:rPr>
          <w:rFonts w:ascii="Times New Roman" w:hAnsi="Times New Roman" w:cs="Times New Roman"/>
          <w:sz w:val="24"/>
          <w:szCs w:val="24"/>
          <w:lang w:val="en-US"/>
        </w:rPr>
        <w:lastRenderedPageBreak/>
        <w:t>systems have been employed to achieve the goals of SDG 7.1, while providing insights into the challenges encountered and the solutions implemented.</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35" w:name="_Toc148218817"/>
      <w:bookmarkStart w:id="36" w:name="_Toc149491231"/>
      <w:r w:rsidRPr="00842337">
        <w:rPr>
          <w:rFonts w:ascii="Times New Roman" w:hAnsi="Times New Roman" w:cs="Times New Roman"/>
          <w:lang w:val="en-US"/>
        </w:rPr>
        <w:lastRenderedPageBreak/>
        <w:t>The Interplay of Microalgae, PBRC, and SDG 7.1</w:t>
      </w:r>
      <w:bookmarkEnd w:id="35"/>
      <w:bookmarkEnd w:id="36"/>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This chapter delves into the dynamic interplay between microalgae cultivation, the Photo Bio Reactor Continuous (PBRC) system, and Sustainable Development Goal 7.1 (SDG 7.1), emphasizing their role in achieving affordable and clean energy. It explores the integration of microalgae into PBRC technology, highlighting the potential to transform the global energy landscape while fostering environmental sustainability.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6.1 Integrating Microalgae Cultivation with PBRC Technology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The synergy between microalgae cultivation and PBRC technology is at the core of achieving SDG 7.1. When these elements are brought together, the result is an </w:t>
      </w:r>
      <w:r w:rsidRPr="00842337">
        <w:rPr>
          <w:rFonts w:ascii="Times New Roman" w:hAnsi="Times New Roman" w:cs="Times New Roman"/>
          <w:sz w:val="24"/>
          <w:szCs w:val="24"/>
          <w:lang w:val="en-US"/>
        </w:rPr>
        <w:lastRenderedPageBreak/>
        <w:t>efficient and scalable system that maximizes the benefits of both:</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 Controlled Growth Environments: PBRC systems provide an environment in which critical growth parameters for microalgae can be controlled, including light, temperature, and nutrient levels. This precision ensures optimal growth conditions.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Enhanced Productivity: The synergy between microalgae and PBRC systems leads to increased biomass production and lipid yields, making microalgae-based energy production more economically viable.</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c. Reduced Contamination: Closed-loop PBRC systems minimize contamination risks, ensuring the purity of the </w:t>
      </w:r>
      <w:r w:rsidRPr="00842337">
        <w:rPr>
          <w:rFonts w:ascii="Times New Roman" w:hAnsi="Times New Roman" w:cs="Times New Roman"/>
          <w:sz w:val="24"/>
          <w:szCs w:val="24"/>
          <w:lang w:val="en-US"/>
        </w:rPr>
        <w:lastRenderedPageBreak/>
        <w:t>microalgae culture, which is essential for consistent and reliable energy production.</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6.2 Achieving Affordable and Clean Energy Goals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integration of microalgae, PBRC systems, and innovative technologies such as Patent Green represents a significant step forward in achieving SDG 7.1:</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 Sustainable Biofuels: Microalgae-derived biofuels offer a sustainable and clean energy source with a lower carbon footprint. Their renewable nature and high lipid content make them a reliable alternative to fossil fuels.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b. Carbon Sequestration: The process of microalgae cultivation captures carbon dioxide from the atmosphere, </w:t>
      </w:r>
      <w:r w:rsidRPr="00842337">
        <w:rPr>
          <w:rFonts w:ascii="Times New Roman" w:hAnsi="Times New Roman" w:cs="Times New Roman"/>
          <w:sz w:val="24"/>
          <w:szCs w:val="24"/>
          <w:lang w:val="en-US"/>
        </w:rPr>
        <w:lastRenderedPageBreak/>
        <w:t>helping reduce greenhouse gas emissions and contributing to global efforts to combat climate change.</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 Energy Independence: Microalgae-based energy solutions can contribute to energy security by reducing dependence on fossil fuels and imported energy sources.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6.3 The Role of Microalgae in Carbon Sequestration</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One of the noteworthy contributions of microalgae is their role in carbon sequestration. As they photosynthesize, microalgae absorb carbon dioxide from the atmosphere. This process has significant implications for mitigating climate change:</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a. Carbon Offset: Microalgae cultivation can effectively offset carbon emissions from various sectors, including transportation and industry.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Carbon Capture and Utilization: The captured carbon dioxide can be used in various applications, from enhancing microalgae growth to producing valuable co-products.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6.4 The Path to Sustainable Development</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integration of microalgae and PBRC technology aligns with the broader objectives of sustainable development:</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a. Economic Growth: The microalgae biofuel industry has the potential to create jobs and stimulate economic </w:t>
      </w:r>
      <w:r w:rsidRPr="00842337">
        <w:rPr>
          <w:rFonts w:ascii="Times New Roman" w:hAnsi="Times New Roman" w:cs="Times New Roman"/>
          <w:sz w:val="24"/>
          <w:szCs w:val="24"/>
          <w:lang w:val="en-US"/>
        </w:rPr>
        <w:lastRenderedPageBreak/>
        <w:t>growth, particularly in regions where sustainable energy production is prioritized.</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Environmental Stewardship: Microalgae-based energy production contributes to a cleaner environment by reducing air and water pollution, conserving natural resources, and preserving biodiversity.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 Community Empowerment: Sustainable energy solutions have the power to enhance the well-being of communities, particularly those in remote or underserved areas, by providing access to affordable, reliable energy.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6.5 Challenges and Opportunities</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While the integration of microalgae, PBRC systems, and sustainable energy goals offers immense promise, challenges persist:</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 Economic Viability: The cost-effectiveness of microalgae-based biofuels, relative to conventional fuels, remains a hurdle to overcome.</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 Policy and Regulatory Frameworks: A conducive policy environment, along with supportive regulations, is vital for the growth of the microalgae-based energy industry.</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 Public Awareness: Raising awareness about the benefits and potential of microalgae-based energy is essential to garner support and investment.</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This chapter underscores the dynamic relationship between microalgae, PBRC technology, and SDG 7.1, portraying a path toward affordable and clean energy solutions that align with global sustainability goals. The following chapters will delve into the environmental and economic sustainability of these solutions and offer practical insights and case studies that showcase the progress being made toward a greener and more energy-secure future.</w:t>
      </w:r>
    </w:p>
    <w:p w:rsidR="005D5B77" w:rsidRPr="00842337" w:rsidRDefault="005D5B77" w:rsidP="005D5B77">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37" w:name="_Toc148218818"/>
      <w:bookmarkStart w:id="38" w:name="_Toc149491232"/>
      <w:r w:rsidRPr="00842337">
        <w:rPr>
          <w:rFonts w:ascii="Times New Roman" w:hAnsi="Times New Roman" w:cs="Times New Roman"/>
          <w:lang w:val="en-US"/>
        </w:rPr>
        <w:lastRenderedPageBreak/>
        <w:t>Environmental and Economic Sustainability</w:t>
      </w:r>
      <w:bookmarkEnd w:id="37"/>
      <w:bookmarkEnd w:id="38"/>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we navigate the landscape of microalgae, Photo Bio Reactor Continuous (PBRC) systems, and Sustainable Development Goal 7.1 (SDG 7.1), this chapter focuses on the critical aspects of environmental sustainability and economic viability. It explores the environmental impacts of microalgae-based energy production and the economic dimensions that will ultimately determine the feasibility of this green energy solution.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7.1 Environmental Impacts of Microalgae and PBRC Systems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environmental benefits of microalgae and PBRC systems are substantial, but it is essential to understand their potential impacts: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 Carbon Footprint Reduction: Microalgae capture carbon dioxide during photosynthesis, significantly reducing the </w:t>
      </w:r>
      <w:r w:rsidRPr="00842337">
        <w:rPr>
          <w:rFonts w:ascii="Times New Roman" w:hAnsi="Times New Roman" w:cs="Times New Roman"/>
          <w:sz w:val="24"/>
          <w:szCs w:val="24"/>
        </w:rPr>
        <w:lastRenderedPageBreak/>
        <w:t>carbon footprint of energy production. The carbon offset provided by microalgae is a vital element in mitigating climate change.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Water Efficiency: Microalgae cultivation, especially within closed-loop PBRC systems, is water-efficient and can reduce the strain on freshwater resources. This is particularly important in regions prone to water scarcity.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Reduced Land Use: The land footprint of microalgae cultivation is smaller compared to conventional biofuel crops. This helps in preserving natural ecosystems and reducing habitat destruction.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d. Nutrient Recycling: The cultivation of microalgae in PBRC systems allows for efficient recycling of nutrients, minimizing excess nutrient runoff and its impact on ecosystems.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7.2 Economic Viability and Market Potential</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For microalgae-based energy solutions to make a significant impact on SDG 7.1, they must be economically viable. Several factors influence the economic sustainability of this technology: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Cost-Competitive Production: To compete with traditional energy sources, microalgae-based biofuels must be produced cost-competitively. Advances in cultivation techniques, PBRC systems, and Patent Green technologies aim to reduce production costs.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Market Demand: The demand for sustainable and clean energy is growing, presenting a promising market for microalgae-based biofuels, nutraceuticals, and other co-products.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Investment and Funding: Funding and investment in research, development, and commercial-scale production are critical to achieving economic viability.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d. Scale-Up Challenges: Scaling up microalgae production from laboratory to commercial levels presents challenges in cost management, process optimization, and infrastructure development.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7.3 Sustainable Practices in Microalgae Cultivation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sustainable production of microalgae involves best practices to mitigate environmental impacts and reduce costs: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Selecting Ideal Strains: Identifying and cultivating microalgae strains that are well-suited for specific environments and applications is crucial for sustainability.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Biorefinery Concepts: Implementing biorefinery concepts in microalgae cultivation allows for the extraction of valuable co-products alongside biofuels, maximizing economic returns.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Waste Utilization: Utilizing waste streams such as carbon dioxide and wastewater in microalgae cultivation reduces waste and enhances sustainability.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7.4 Mitigating Risks and Promoting Long-term Sustainability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with any emerging technology, microalgae-based energy production comes with risks that must be managed for long-term sustainability: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Biodiversity Conservation: Ensuring that microalgae cultivation practices do not inadvertently harm local ecosystems or biodiversity is a critical consideration.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Regulatory Compliance: Adhering to environmental regulations and sustainability standards is vital to avoid any negative consequences.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c. Technological Innovation: Continuous innovation in microalgae cultivation techniques and PBRC systems is necessary to enhance efficiency and reduce environmental impacts.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d. Industry Collaboration: Collaboration between governments, academia, industry, and environmental organizations can facilitate the development of sustainable practices and regulations.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7.5 Balancing Environmental and Economic Sustainability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Balancing environmental and economic sustainability is the key to the long-term success of microalgae-based energy solutions. As the industry matures, advancements in technology, market demand, and supportive policy frameworks can help align these objectives.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This chapter highlights the interconnectedness of environmental and economic sustainability in microalgae-</w:t>
      </w:r>
      <w:r w:rsidRPr="00842337">
        <w:rPr>
          <w:rFonts w:ascii="Times New Roman" w:hAnsi="Times New Roman" w:cs="Times New Roman"/>
          <w:sz w:val="24"/>
          <w:szCs w:val="24"/>
        </w:rPr>
        <w:lastRenderedPageBreak/>
        <w:t>based energy production. Striking this balance is essential for the success of sustainable energy solutions and their ability to contribute effectively to SDG 7.1. The following chapters will dive deeper into global case studies, policy frameworks, and the vision for the future, illustrating how these principles are applied in practice and setting the stage for a greener energy landscape.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4A54FD" w:rsidRDefault="004A54FD">
      <w:pPr>
        <w:rPr>
          <w:rFonts w:ascii="Times New Roman" w:eastAsiaTheme="majorEastAsia" w:hAnsi="Times New Roman" w:cs="Times New Roman"/>
          <w:b/>
          <w:bCs/>
          <w:color w:val="365F91" w:themeColor="accent1" w:themeShade="BF"/>
          <w:sz w:val="28"/>
          <w:szCs w:val="28"/>
          <w:lang w:val="en-US"/>
        </w:rPr>
      </w:pPr>
      <w:bookmarkStart w:id="39" w:name="_Toc148218819"/>
      <w:r>
        <w:rPr>
          <w:rFonts w:ascii="Times New Roman" w:hAnsi="Times New Roman" w:cs="Times New Roman"/>
          <w:lang w:val="en-US"/>
        </w:rPr>
        <w:br w:type="page"/>
      </w:r>
    </w:p>
    <w:p w:rsidR="005D5B77" w:rsidRPr="00842337" w:rsidRDefault="005D5B77" w:rsidP="005D5B77">
      <w:pPr>
        <w:pStyle w:val="Titolo1"/>
        <w:rPr>
          <w:rFonts w:ascii="Times New Roman" w:hAnsi="Times New Roman" w:cs="Times New Roman"/>
          <w:lang w:val="en-US"/>
        </w:rPr>
      </w:pPr>
      <w:bookmarkStart w:id="40" w:name="_Toc149491233"/>
      <w:r w:rsidRPr="00842337">
        <w:rPr>
          <w:rFonts w:ascii="Times New Roman" w:hAnsi="Times New Roman" w:cs="Times New Roman"/>
          <w:lang w:val="en-US"/>
        </w:rPr>
        <w:lastRenderedPageBreak/>
        <w:t>The Future of Microalgae and SDG 7.1</w:t>
      </w:r>
      <w:bookmarkEnd w:id="39"/>
      <w:bookmarkEnd w:id="40"/>
    </w:p>
    <w:p w:rsidR="005D5B77" w:rsidRPr="00842337" w:rsidRDefault="005D5B77" w:rsidP="005D5B77">
      <w:pPr>
        <w:rPr>
          <w:rFonts w:ascii="Times New Roman" w:hAnsi="Times New Roman" w:cs="Times New Roman"/>
          <w:lang w:val="en-US"/>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future of microalgae and their role in achieving Sustainable Development Goal 7.1 is brimming with potential and innovation. As the world grapples with the challenges of energy access, sustainable agriculture, and environmental conservation, microalgae-based solutions offer a promising path forward. In this final chapter, we will explore the emerging trends and prospects of microalgae in driving sustainable development and addressing global energy challenges.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1. Scaling Up Microalgae Cultivation: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One of the key directions for the future is scaling up microalgae cultivation. As technological advancements continue to make microalgae cultivation more efficient and cost-effective, we can anticipate the establishment of larger microalgae farms and biorefineries. These facilities will provide a substantial source of biofuels, bioproducts, </w:t>
      </w:r>
      <w:r w:rsidRPr="00842337">
        <w:rPr>
          <w:rFonts w:ascii="Times New Roman" w:hAnsi="Times New Roman" w:cs="Times New Roman"/>
          <w:sz w:val="24"/>
          <w:szCs w:val="24"/>
        </w:rPr>
        <w:lastRenderedPageBreak/>
        <w:t>and biofertilizers, helping meet growing energy and agricultural demands.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2. Microalgae in Circular Economies: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 are well-suited to circular economy models, where waste is minimized, and resources are recycled. By integrating microalgae into wastewater treatment processes and agro-industrial systems, we can create closed-loop systems that optimize resource utilization and minimize environmental impact.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3. Microalgae and Sustainable Aquaculture: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use of microalgae in sustainable aquaculture is poised to expand. Microalgae can serve as a primary food source for aquaculture species, reducing the reliance on wild-caught fish for fishmeal. This shift not only conserves marine resources but also enhances the nutritional value of farmed seafood.</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4. Carbon Capture and Utilization (CCU):</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Microalgae are likely to play an increasingly important role in carbon capture and utilization (CCU) technologies. As governments and industries prioritize carbon neutrality, microalgae will be utilized to capture and convert carbon dioxide emissions into valuable products, such as biofuels and biochemicals.</w:t>
      </w: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5. Microalgae Bioremediation: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use of microalgae in bioremediation efforts will expand to tackle a broader range of environmental challenges. Microalgae will be employed to remediate contaminated soils, clean up oil spills, and address air pollution through the capture of pollutants.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6. Microalgae and Nutraceuticals: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The production of high-value nutraceuticals from microalgae will continue to grow. Microalgae-derived supplements and functional foods will contribute to improved nutrition and health, offering a sustainable alternative to traditional dietary sources.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7. International Collaboration and Knowledge Sharing:</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International collaborations and knowledge sharing will be essential for harnessing the full potential of microalgae. Scientific research, technological innovations, and best practices need to be exchanged globally to address energy access, food security, and environmental sustainability on a large scale.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Challenges and Ethical Considerations: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While the future of microalgae is promising, several challenges and ethical considerations must be addressed:</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numPr>
          <w:ilvl w:val="0"/>
          <w:numId w:val="1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Environmental Impact:</w:t>
      </w:r>
      <w:r w:rsidRPr="00842337">
        <w:rPr>
          <w:rFonts w:ascii="Times New Roman" w:hAnsi="Times New Roman" w:cs="Times New Roman"/>
          <w:sz w:val="24"/>
          <w:szCs w:val="24"/>
        </w:rPr>
        <w:t xml:space="preserve"> The potential ecological risks associated with large-scale microalgae cultivation, especially in open ponds or natural water bodies, require careful monitoring and regulation.</w:t>
      </w:r>
    </w:p>
    <w:p w:rsidR="005D5B77" w:rsidRPr="00842337" w:rsidRDefault="005D5B77" w:rsidP="005D5B77">
      <w:pPr>
        <w:pStyle w:val="Paragrafoelenco"/>
        <w:numPr>
          <w:ilvl w:val="0"/>
          <w:numId w:val="1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Intellectual Property:</w:t>
      </w:r>
      <w:r w:rsidRPr="00842337">
        <w:rPr>
          <w:rFonts w:ascii="Times New Roman" w:hAnsi="Times New Roman" w:cs="Times New Roman"/>
          <w:sz w:val="24"/>
          <w:szCs w:val="24"/>
        </w:rPr>
        <w:t xml:space="preserve"> The patenting of genetically modified microalgae strains raises questions about equitable access to these resources and the fair distribution of benefits.</w:t>
      </w:r>
    </w:p>
    <w:p w:rsidR="005D5B77" w:rsidRPr="00842337" w:rsidRDefault="005D5B77" w:rsidP="005D5B77">
      <w:pPr>
        <w:pStyle w:val="Paragrafoelenco"/>
        <w:numPr>
          <w:ilvl w:val="0"/>
          <w:numId w:val="1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Biosecurity:</w:t>
      </w:r>
      <w:r w:rsidRPr="00842337">
        <w:rPr>
          <w:rFonts w:ascii="Times New Roman" w:hAnsi="Times New Roman" w:cs="Times New Roman"/>
          <w:sz w:val="24"/>
          <w:szCs w:val="24"/>
        </w:rPr>
        <w:t xml:space="preserve"> Measures to prevent unintended environmental release of genetically modified microalgae must be strictly enforced.</w:t>
      </w:r>
    </w:p>
    <w:p w:rsidR="005D5B77" w:rsidRPr="00842337" w:rsidRDefault="005D5B77" w:rsidP="005D5B77">
      <w:pPr>
        <w:pStyle w:val="Paragrafoelenco"/>
        <w:numPr>
          <w:ilvl w:val="0"/>
          <w:numId w:val="1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Public Acceptance:</w:t>
      </w:r>
      <w:r w:rsidRPr="00842337">
        <w:rPr>
          <w:rFonts w:ascii="Times New Roman" w:hAnsi="Times New Roman" w:cs="Times New Roman"/>
          <w:sz w:val="24"/>
          <w:szCs w:val="24"/>
        </w:rPr>
        <w:t xml:space="preserve"> Wider public understanding and acceptance of microalgae-based solutions are crucial for their widespread adoption.</w:t>
      </w:r>
    </w:p>
    <w:p w:rsidR="005D5B77" w:rsidRPr="00842337" w:rsidRDefault="005D5B77" w:rsidP="005D5B77">
      <w:pPr>
        <w:spacing w:line="360" w:lineRule="auto"/>
        <w:jc w:val="both"/>
        <w:rPr>
          <w:rFonts w:ascii="Times New Roman" w:hAnsi="Times New Roman" w:cs="Times New Roman"/>
          <w:sz w:val="24"/>
          <w:szCs w:val="24"/>
          <w:lang w:val="en-US"/>
        </w:rPr>
      </w:pPr>
    </w:p>
    <w:p w:rsidR="005D5B77" w:rsidRPr="00842337" w:rsidRDefault="005D5B77" w:rsidP="005D5B77">
      <w:pPr>
        <w:pStyle w:val="Paragrafoelenco"/>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Summary: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In conclusion, the future of microalgae in addressing Sustainable Development Goal 7.1 and other global challenges is bright. These remarkable organisms offer a </w:t>
      </w:r>
      <w:r w:rsidRPr="00842337">
        <w:rPr>
          <w:rFonts w:ascii="Times New Roman" w:hAnsi="Times New Roman" w:cs="Times New Roman"/>
          <w:sz w:val="24"/>
          <w:szCs w:val="24"/>
        </w:rPr>
        <w:lastRenderedPageBreak/>
        <w:t>range of solutions that can transform the energy landscape, agriculture practices, and environmental conservation efforts. As research and innovation continue, the potential for microalgae to create a more sustainable and equitable world becomes increasingly evident. By embracing the opportunities and addressing the challenges, we can look forward to a future where microalgae play a central role in achieving a more prosperous and sustainable planet for all.</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41" w:name="_Toc148218820"/>
      <w:bookmarkStart w:id="42" w:name="_Toc149491234"/>
      <w:r w:rsidRPr="00842337">
        <w:rPr>
          <w:rFonts w:ascii="Times New Roman" w:hAnsi="Times New Roman" w:cs="Times New Roman"/>
          <w:lang w:val="en-US"/>
        </w:rPr>
        <w:lastRenderedPageBreak/>
        <w:t>Policy and Regulatory Frameworks</w:t>
      </w:r>
      <w:bookmarkEnd w:id="41"/>
      <w:bookmarkEnd w:id="42"/>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Achieving Sustainable Development Goal 7.1 (SDG 7.1) requires not only innovation and technological advancements but also robust policy and regulatory frameworks that encourage and support the transition to affordable and clean energy. This chapter delves into the vital role of government initiatives, regulations, and international agreements in fostering the development of microalgae-based energy solutions within the context of Photo Bio Reactor Continuous (PBRC) systems and Patent Green technology.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9.1 Government Initiatives and Support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Governments play a crucial role in advancing the sustainable energy agenda. They provide support in several key areas: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a. Research Funding: Government funding for research and development accelerates innovation in microalgae cultivation, PBRC systems, and sustainable energy technologies. Grants and subsidies promote advancements in these fields.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Incentives: Tax incentives and financial support for companies involved in microalgae-based energy production can help stimulate investment and growth in the sector.</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Energy Policy: Governments can shape the energy landscape through policy decisions, such as setting renewable energy targets, providing support for microalgae-based biofuels, and implementing regulations that promote clean energy.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9.2 Regulatory Challenges and Solutions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The regulatory environment is pivotal to the success of microalgae-based energy solutions: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Intellectual Property Protection: Regulations governing the patenting and protection of microalgae strains and innovative technologies like Patent Green are essential for incentivizing investment and protecting intellectual property rights.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Environmental Regulations: Regulatory frameworks should address environmental concerns related to microalgae cultivation, ensuring sustainability and minimizing negative impacts.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Safety Standards: Ensuring the safe production and utilization of microalgae-based biofuels is critical. Standards and guidelines should be established to safeguard the health and well-being of workers and the public.</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d. Quality Assurance: Regulations related to the quality and purity of microalgae-derived products, such as biofuels and nutraceuticals, are necessary to maintain product integrity and consumer trust.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9.3 International Agreements and Commitments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International collaboration and agreements are instrumental in advancing sustainable energy goals: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Paris Agreement: The Paris Agreement, under the United Nations Framework Convention on Climate Change, outlines global commitments to mitigate climate change and promote sustainable energy solutions. Microalgae-based biofuels align with these objectives.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Sustainable Development Goals (SDGs): The alignment of microalgae-based energy solutions with SDG 7.1 demonstrates their relevance on the global stage, fostering international commitment to their development.</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 Trade Agreements: Bilateral and multilateral trade agreements can promote the export and import of microalgae-derived products, expanding market reach and collaboration.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9.4 A Vision for the Future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future of microalgae-based energy solutions is shaped by the policies and regulations put in place today: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 Energy Transition: Governments should set clear pathways for transitioning from fossil fuels to renewable and sustainable energy sources, including microalgae-based biofuels.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 Market Development: Policymakers can support market development for microalgae-derived products, stimulating economic growth and enhancing energy security.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c. Innovation and Research: Government investment in research and innovation, coupled with favorable policies, can position countries at the forefront of microalgae-based energy technology.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d. Global Collaboration: International collaboration in research, development, and sharing of best practices can accelerate progress toward sustainable energy goals.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governments, regulatory bodies, and international organizations continue to play a pivotal role in shaping the future of microalgae-based energy solutions, this chapter underscores the importance of creating an enabling environment for innovation, investment, and sustainable development. The following chapters will provide insights through global case studies and a forward-looking vision, illustrating the practical implementation of these policies and the potential for a greener energy landscape.</w:t>
      </w:r>
    </w:p>
    <w:p w:rsidR="005D5B77" w:rsidRPr="00842337" w:rsidRDefault="005D5B77" w:rsidP="005D5B77">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rsidP="005D5B77">
      <w:pPr>
        <w:pStyle w:val="Titolo1"/>
        <w:rPr>
          <w:rFonts w:ascii="Times New Roman" w:hAnsi="Times New Roman" w:cs="Times New Roman"/>
          <w:lang w:val="en-US"/>
        </w:rPr>
      </w:pPr>
      <w:bookmarkStart w:id="43" w:name="_Toc148218821"/>
      <w:bookmarkStart w:id="44" w:name="_Toc149491235"/>
      <w:r w:rsidRPr="00842337">
        <w:rPr>
          <w:rFonts w:ascii="Times New Roman" w:hAnsi="Times New Roman" w:cs="Times New Roman"/>
          <w:lang w:val="en-US"/>
        </w:rPr>
        <w:lastRenderedPageBreak/>
        <w:t>The Way Forward</w:t>
      </w:r>
      <w:bookmarkEnd w:id="43"/>
      <w:bookmarkEnd w:id="44"/>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we conclude this book on the intersection of microalgae, Photo Bio Reactor Continuous (PBRC) systems, Patent Green technology, and Sustainable Development Goal 7.1 (SDG 7.1), it is crucial to reflect on the path traveled and the way forward. This chapter offers a summary of key takeaways, presents a vision for a sustainable energy future, and leaves readers with a sense of purpose and direction.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10.1 Sustainable Energy Goals and Beyond</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journey through the preceding chapters has illuminated the extraordinary potential of microalgae-based energy solutions. These innovative technologies offer a bridge to achieving SDG 7.1 by providing affordable, clean, and renewable energy, while simultaneously addressing environmental challenges, economic sustainability, and social well-being.</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As the world strives to meet the sustainable energy goals set forth by the United Nations, microalgae, PBRC systems, and Patent Green technology serve as integral components of the toolkit for change. They contribute to a reduction in greenhouse gas emissions, enhanced energy security, and economic development. </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10.2 Collaborative Efforts for a Greener Future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path forward is not a solitary one; it is a collective journey involving researchers, policymakers, industry leaders, and the global community. Collaboration is the key to success. Cross-sector partnerships can bridge gaps in knowledge and resources, driving forward the development and deployment of microalgae-based energy solutions.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Collaboration also extends to international cooperation, with countries coming together to address the global </w:t>
      </w:r>
      <w:r w:rsidRPr="00842337">
        <w:rPr>
          <w:rFonts w:ascii="Times New Roman" w:hAnsi="Times New Roman" w:cs="Times New Roman"/>
          <w:sz w:val="24"/>
          <w:szCs w:val="24"/>
        </w:rPr>
        <w:lastRenderedPageBreak/>
        <w:t>energy challenge. Joint research efforts, technology transfer, and shared best practices can accelerate the transition to sustainable energy on a global scale.</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10.3 Key Takeaways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Reflecting on the insights gathered in this book, there are several key takeaways: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Microalgae have the potential to revolutionize the energy landscape by providing a renewable and clean source of biofuels.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PBRC systems offer an efficient and controlled environment for microalgae cultivation, optimizing biomass and biofuel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Patent Green technology enhances the synergy between microalgae and PBRC systems, creating a robust and sustainable energy solution.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 Environmental sustainability and economic viability must be carefully balanced to ensure the long-term success of microalgae-based energy production.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Governments, regulations, and international agreements play pivotal roles in shaping the future of microalgae-based energy solutions.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10.4 Final Thoughts</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transformation toward sustainable energy is not only a necessity but a beacon of hope. It is a promise of a cleaner and more equitable future. The journey toward achieving SDG 7.1 and securing a sustainable energy future requires dedication, innovation, and a commitment to collective action.</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The pages of this book have showcased the incredible potential of microalgae, PBRC systems, and Patent Green technology in advancing this cause. However, it is the </w:t>
      </w:r>
      <w:r w:rsidRPr="00842337">
        <w:rPr>
          <w:rFonts w:ascii="Times New Roman" w:hAnsi="Times New Roman" w:cs="Times New Roman"/>
          <w:sz w:val="24"/>
          <w:szCs w:val="24"/>
        </w:rPr>
        <w:lastRenderedPageBreak/>
        <w:t>responsibility of each individual, organization, and government to carry these concepts forward into reality.</w:t>
      </w:r>
    </w:p>
    <w:p w:rsidR="005D5B77" w:rsidRPr="00842337" w:rsidRDefault="005D5B77" w:rsidP="005D5B77">
      <w:pPr>
        <w:pStyle w:val="Paragrafoelenco"/>
        <w:spacing w:line="360" w:lineRule="auto"/>
        <w:ind w:left="0"/>
        <w:jc w:val="both"/>
        <w:rPr>
          <w:rFonts w:ascii="Times New Roman" w:hAnsi="Times New Roman" w:cs="Times New Roman"/>
          <w:sz w:val="24"/>
          <w:szCs w:val="24"/>
        </w:rPr>
      </w:pPr>
    </w:p>
    <w:p w:rsidR="005D5B77" w:rsidRPr="00842337" w:rsidRDefault="005D5B77" w:rsidP="005D5B77">
      <w:pPr>
        <w:pStyle w:val="Paragrafoelenco"/>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you close this book, we hope that it has kindled a sense of optimism and inspired you to be part of the transformative journey toward affordable and clean energy. The future is in our hands, and together, we can create a greener, more sustainable, and energy-secure world for generations to come.</w:t>
      </w:r>
    </w:p>
    <w:p w:rsidR="005D5B77" w:rsidRPr="00842337" w:rsidRDefault="005D5B77" w:rsidP="005D5B77">
      <w:pPr>
        <w:jc w:val="both"/>
        <w:rPr>
          <w:rFonts w:ascii="Times New Roman" w:eastAsiaTheme="minorEastAsia" w:hAnsi="Times New Roman" w:cs="Times New Roman"/>
          <w:sz w:val="24"/>
          <w:szCs w:val="24"/>
          <w:lang w:val="en-US" w:bidi="hi-IN"/>
        </w:rPr>
      </w:pPr>
      <w:r w:rsidRPr="00842337">
        <w:rPr>
          <w:rFonts w:ascii="Times New Roman" w:hAnsi="Times New Roman" w:cs="Times New Roman"/>
          <w:sz w:val="24"/>
          <w:szCs w:val="24"/>
          <w:lang w:val="en-US"/>
        </w:rPr>
        <w:br w:type="page"/>
      </w:r>
    </w:p>
    <w:p w:rsidR="005D5B77" w:rsidRPr="00842337" w:rsidRDefault="005D5B77">
      <w:pPr>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br w:type="page"/>
      </w:r>
    </w:p>
    <w:p w:rsidR="008C0579" w:rsidRPr="00972BA9" w:rsidRDefault="008C0579" w:rsidP="001F059E">
      <w:pPr>
        <w:pStyle w:val="Titolo1"/>
        <w:rPr>
          <w:rFonts w:ascii="Times New Roman" w:hAnsi="Times New Roman" w:cs="Times New Roman"/>
          <w:sz w:val="36"/>
          <w:szCs w:val="36"/>
          <w:lang w:val="en-US"/>
        </w:rPr>
      </w:pPr>
      <w:bookmarkStart w:id="45" w:name="_Toc149491236"/>
      <w:bookmarkStart w:id="46" w:name="_Toc148255235"/>
      <w:bookmarkStart w:id="47" w:name="_Toc148257126"/>
      <w:r w:rsidRPr="00972BA9">
        <w:rPr>
          <w:rFonts w:ascii="Times New Roman" w:hAnsi="Times New Roman" w:cs="Times New Roman"/>
          <w:sz w:val="36"/>
          <w:szCs w:val="36"/>
          <w:lang w:val="en-US"/>
        </w:rPr>
        <w:lastRenderedPageBreak/>
        <w:t>Photo Bio Reactor Continuous</w:t>
      </w:r>
      <w:bookmarkEnd w:id="45"/>
    </w:p>
    <w:p w:rsidR="008C0579" w:rsidRPr="00842337" w:rsidRDefault="008C0579" w:rsidP="008C0579">
      <w:pPr>
        <w:rPr>
          <w:rFonts w:ascii="Times New Roman" w:hAnsi="Times New Roman" w:cs="Times New Roman"/>
          <w:lang w:val="en-US"/>
        </w:rPr>
      </w:pPr>
    </w:p>
    <w:p w:rsidR="008C0579" w:rsidRPr="00972BA9" w:rsidRDefault="008C0579" w:rsidP="001F059E">
      <w:pPr>
        <w:pStyle w:val="Titolo1"/>
        <w:rPr>
          <w:rFonts w:ascii="Times New Roman" w:hAnsi="Times New Roman" w:cs="Times New Roman"/>
          <w:lang w:val="en-US"/>
        </w:rPr>
      </w:pPr>
      <w:bookmarkStart w:id="48" w:name="_Toc149491237"/>
      <w:r w:rsidRPr="00972BA9">
        <w:rPr>
          <w:rFonts w:ascii="Times New Roman" w:hAnsi="Times New Roman" w:cs="Times New Roman"/>
          <w:lang w:val="en-US"/>
        </w:rPr>
        <w:t>Table of Contents:</w:t>
      </w:r>
      <w:bookmarkEnd w:id="46"/>
      <w:bookmarkEnd w:id="47"/>
      <w:bookmarkEnd w:id="48"/>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1: The Photo Bio Reactor Continuous (PBRC) Patent</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History and development of PBRC technology</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Key features and components of PBRC</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significance of the PBRC patent in advancing sustainable energy</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2: The Science Behind PBRC</w:t>
      </w:r>
    </w:p>
    <w:p w:rsidR="008C0579" w:rsidRPr="00842337" w:rsidRDefault="008C0579" w:rsidP="008C0579">
      <w:pPr>
        <w:numPr>
          <w:ilvl w:val="0"/>
          <w:numId w:val="52"/>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Explaining the intricate workings of PBRC systems.</w:t>
      </w:r>
    </w:p>
    <w:p w:rsidR="008C0579" w:rsidRPr="00842337" w:rsidRDefault="008C0579" w:rsidP="008C0579">
      <w:pPr>
        <w:numPr>
          <w:ilvl w:val="0"/>
          <w:numId w:val="52"/>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Detailing the role of microalgae in energy production and carbon capture.</w:t>
      </w:r>
    </w:p>
    <w:p w:rsidR="008C0579" w:rsidRPr="00842337" w:rsidRDefault="008C0579" w:rsidP="008C0579">
      <w:pPr>
        <w:numPr>
          <w:ilvl w:val="0"/>
          <w:numId w:val="52"/>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Highlighting the environmental benefits of PBRC, including reduced greenhouse gas emissions and water conservation.</w:t>
      </w:r>
    </w:p>
    <w:p w:rsidR="008C0579" w:rsidRPr="00842337" w:rsidRDefault="008C0579" w:rsidP="008C0579">
      <w:pPr>
        <w:numPr>
          <w:ilvl w:val="0"/>
          <w:numId w:val="52"/>
        </w:numPr>
        <w:spacing w:after="120" w:line="360" w:lineRule="auto"/>
        <w:ind w:left="0"/>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3: PBRC Patents and Projects</w:t>
      </w:r>
    </w:p>
    <w:p w:rsidR="008C0579" w:rsidRPr="00842337" w:rsidRDefault="008C0579" w:rsidP="008C0579">
      <w:pPr>
        <w:numPr>
          <w:ilvl w:val="0"/>
          <w:numId w:val="53"/>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Providing an overview of the patents and projects related to PBRC technology.</w:t>
      </w:r>
    </w:p>
    <w:p w:rsidR="008C0579" w:rsidRPr="00842337" w:rsidRDefault="008C0579" w:rsidP="008C0579">
      <w:pPr>
        <w:numPr>
          <w:ilvl w:val="0"/>
          <w:numId w:val="53"/>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Exploring the intellectual property rights associated with PBRC and their significance in driving innovation.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4: PBRC and the United Nations Sustainable Development Goals</w:t>
      </w:r>
    </w:p>
    <w:p w:rsidR="008C0579" w:rsidRPr="00842337" w:rsidRDefault="008C0579" w:rsidP="008C0579">
      <w:pPr>
        <w:pStyle w:val="Paragrafoelenco"/>
        <w:numPr>
          <w:ilvl w:val="0"/>
          <w:numId w:val="5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Demonstrating how PBRC aligns with SDG 7.1 and contributes to other SDGs.</w:t>
      </w:r>
    </w:p>
    <w:p w:rsidR="008C0579" w:rsidRPr="00842337" w:rsidRDefault="008C0579" w:rsidP="008C0579">
      <w:pPr>
        <w:pStyle w:val="Paragrafoelenco"/>
        <w:numPr>
          <w:ilvl w:val="0"/>
          <w:numId w:val="5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Exploring the potential of PBRC to address energy poverty, promote economic growth, and mitigate climate change.</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5:The Real Structure of PBRC (Photo Bio Reactor Continuous)</w:t>
      </w:r>
    </w:p>
    <w:p w:rsidR="008C0579" w:rsidRPr="00842337" w:rsidRDefault="008C0579" w:rsidP="008C0579">
      <w:pPr>
        <w:pStyle w:val="Paragrafoelenco"/>
        <w:numPr>
          <w:ilvl w:val="0"/>
          <w:numId w:val="55"/>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Introduction </w:t>
      </w:r>
    </w:p>
    <w:p w:rsidR="008C0579" w:rsidRPr="00842337" w:rsidRDefault="008C0579" w:rsidP="008C0579">
      <w:pPr>
        <w:pStyle w:val="Paragrafoelenco"/>
        <w:numPr>
          <w:ilvl w:val="0"/>
          <w:numId w:val="55"/>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Advantages </w:t>
      </w:r>
    </w:p>
    <w:p w:rsidR="008C0579" w:rsidRPr="00842337" w:rsidRDefault="008C0579" w:rsidP="008C0579">
      <w:pPr>
        <w:pStyle w:val="Paragrafoelenco"/>
        <w:numPr>
          <w:ilvl w:val="0"/>
          <w:numId w:val="55"/>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Challenges </w:t>
      </w:r>
    </w:p>
    <w:p w:rsidR="008C0579" w:rsidRPr="00842337" w:rsidRDefault="008C0579" w:rsidP="008C0579">
      <w:pPr>
        <w:pStyle w:val="Paragrafoelenco"/>
        <w:ind w:left="0"/>
        <w:jc w:val="both"/>
        <w:rPr>
          <w:rFonts w:ascii="Times New Roman" w:hAnsi="Times New Roman" w:cs="Times New Roman"/>
          <w:sz w:val="24"/>
          <w:szCs w:val="24"/>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lastRenderedPageBreak/>
        <w:t>Chapter 6: Sustainability and Environmental Impact</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Environmental Benefits of PBRC</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Carbon Footprint Reduction</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Water and Resource Efficiency</w:t>
      </w:r>
    </w:p>
    <w:p w:rsidR="008C0579" w:rsidRPr="00842337" w:rsidRDefault="008C0579" w:rsidP="008C0579">
      <w:pPr>
        <w:pStyle w:val="Paragrafoelenco"/>
        <w:numPr>
          <w:ilvl w:val="0"/>
          <w:numId w:val="20"/>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Biodiversity and Land Use</w:t>
      </w:r>
    </w:p>
    <w:p w:rsidR="008C0579" w:rsidRPr="00842337" w:rsidRDefault="008C0579" w:rsidP="008C0579">
      <w:pPr>
        <w:jc w:val="both"/>
        <w:rPr>
          <w:rFonts w:ascii="Times New Roman" w:hAnsi="Times New Roman" w:cs="Times New Roman"/>
          <w:b/>
          <w:bCs/>
          <w:sz w:val="24"/>
          <w:szCs w:val="24"/>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7: Economic and Social Implications</w:t>
      </w:r>
    </w:p>
    <w:p w:rsidR="008C0579" w:rsidRPr="00842337" w:rsidRDefault="008C0579" w:rsidP="008C0579">
      <w:pPr>
        <w:numPr>
          <w:ilvl w:val="0"/>
          <w:numId w:val="41"/>
        </w:numPr>
        <w:spacing w:after="120"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Economic Viability of PBRC</w:t>
      </w:r>
    </w:p>
    <w:p w:rsidR="008C0579" w:rsidRPr="00842337" w:rsidRDefault="008C0579" w:rsidP="008C0579">
      <w:pPr>
        <w:numPr>
          <w:ilvl w:val="0"/>
          <w:numId w:val="41"/>
        </w:numPr>
        <w:spacing w:after="120"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Job Creation and Economic Development</w:t>
      </w:r>
    </w:p>
    <w:p w:rsidR="008C0579" w:rsidRPr="00842337" w:rsidRDefault="008C0579" w:rsidP="008C0579">
      <w:pPr>
        <w:numPr>
          <w:ilvl w:val="0"/>
          <w:numId w:val="41"/>
        </w:numPr>
        <w:spacing w:after="120"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Social Impacts on Communities</w:t>
      </w:r>
    </w:p>
    <w:p w:rsidR="008C0579" w:rsidRPr="00842337" w:rsidRDefault="008C0579" w:rsidP="008C0579">
      <w:pPr>
        <w:pStyle w:val="Paragrafoelenco"/>
        <w:ind w:left="0"/>
        <w:jc w:val="both"/>
        <w:rPr>
          <w:rFonts w:ascii="Times New Roman" w:hAnsi="Times New Roman" w:cs="Times New Roman"/>
          <w:sz w:val="24"/>
          <w:szCs w:val="24"/>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Chapter 8:Patent Protection and SDG 7.1</w:t>
      </w:r>
    </w:p>
    <w:p w:rsidR="008C0579" w:rsidRPr="00842337" w:rsidRDefault="008C0579" w:rsidP="008C0579">
      <w:pPr>
        <w:numPr>
          <w:ilvl w:val="0"/>
          <w:numId w:val="39"/>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role of patents in promoting innovation for sustainable development</w:t>
      </w:r>
    </w:p>
    <w:p w:rsidR="008C0579" w:rsidRPr="00842337" w:rsidRDefault="008C0579" w:rsidP="008C0579">
      <w:pPr>
        <w:numPr>
          <w:ilvl w:val="0"/>
          <w:numId w:val="39"/>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Analyzing the PBRC patent's impact on access to sustainable energy</w:t>
      </w:r>
    </w:p>
    <w:p w:rsidR="008C0579" w:rsidRPr="00842337" w:rsidRDefault="008C0579" w:rsidP="008C0579">
      <w:pPr>
        <w:numPr>
          <w:ilvl w:val="0"/>
          <w:numId w:val="39"/>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Challenges and opportunities in patent protection for SDG 7.1 technologies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9: Challenges and Barriers</w:t>
      </w:r>
    </w:p>
    <w:p w:rsidR="008C0579" w:rsidRPr="00842337" w:rsidRDefault="008C0579" w:rsidP="008C0579">
      <w:pPr>
        <w:pStyle w:val="Paragrafoelenco"/>
        <w:numPr>
          <w:ilvl w:val="0"/>
          <w:numId w:val="21"/>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Barriers to the Widespread Adoption of PBRC Patents</w:t>
      </w:r>
    </w:p>
    <w:p w:rsidR="008C0579" w:rsidRPr="00842337" w:rsidRDefault="008C0579" w:rsidP="008C0579">
      <w:pPr>
        <w:pStyle w:val="Paragrafoelenco"/>
        <w:numPr>
          <w:ilvl w:val="0"/>
          <w:numId w:val="21"/>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Technological and Regulatory Challenges</w:t>
      </w:r>
    </w:p>
    <w:p w:rsidR="008C0579" w:rsidRPr="00842337" w:rsidRDefault="008C0579" w:rsidP="008C0579">
      <w:pPr>
        <w:pStyle w:val="Paragrafoelenco"/>
        <w:numPr>
          <w:ilvl w:val="0"/>
          <w:numId w:val="21"/>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Case Studies: Overcoming Challenges</w:t>
      </w:r>
    </w:p>
    <w:p w:rsidR="008C0579" w:rsidRPr="00842337" w:rsidRDefault="008C0579" w:rsidP="008C0579">
      <w:pPr>
        <w:jc w:val="both"/>
        <w:rPr>
          <w:rFonts w:ascii="Times New Roman" w:hAnsi="Times New Roman" w:cs="Times New Roman"/>
          <w:sz w:val="24"/>
          <w:szCs w:val="24"/>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10: Case Studies and Success Stories</w:t>
      </w:r>
    </w:p>
    <w:p w:rsidR="008C0579" w:rsidRPr="00842337" w:rsidRDefault="008C0579" w:rsidP="008C0579">
      <w:pPr>
        <w:pStyle w:val="Paragrafoelenco"/>
        <w:numPr>
          <w:ilvl w:val="0"/>
          <w:numId w:val="2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Notable PBRC Patent Success Stories</w:t>
      </w:r>
    </w:p>
    <w:p w:rsidR="008C0579" w:rsidRPr="00842337" w:rsidRDefault="008C0579" w:rsidP="008C0579">
      <w:pPr>
        <w:pStyle w:val="Paragrafoelenco"/>
        <w:numPr>
          <w:ilvl w:val="0"/>
          <w:numId w:val="2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Innovative Companies and Entrepreneurs</w:t>
      </w:r>
    </w:p>
    <w:p w:rsidR="008C0579" w:rsidRPr="00842337" w:rsidRDefault="008C0579" w:rsidP="008C0579">
      <w:pPr>
        <w:pStyle w:val="Paragrafoelenco"/>
        <w:numPr>
          <w:ilvl w:val="0"/>
          <w:numId w:val="2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Impactful Projects and Initiatives</w:t>
      </w:r>
    </w:p>
    <w:p w:rsidR="008C0579" w:rsidRPr="00842337" w:rsidRDefault="008C0579" w:rsidP="008C0579">
      <w:pPr>
        <w:jc w:val="both"/>
        <w:rPr>
          <w:rFonts w:ascii="Times New Roman" w:hAnsi="Times New Roman" w:cs="Times New Roman"/>
          <w:sz w:val="24"/>
          <w:szCs w:val="24"/>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11: The Way Forward</w:t>
      </w:r>
    </w:p>
    <w:p w:rsidR="008C0579" w:rsidRPr="00842337" w:rsidRDefault="008C0579" w:rsidP="008C0579">
      <w:pPr>
        <w:pStyle w:val="Paragrafoelenco"/>
        <w:numPr>
          <w:ilvl w:val="0"/>
          <w:numId w:val="23"/>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Recommendations for Policymakers</w:t>
      </w:r>
    </w:p>
    <w:p w:rsidR="008C0579" w:rsidRPr="00842337" w:rsidRDefault="008C0579" w:rsidP="008C0579">
      <w:pPr>
        <w:pStyle w:val="Paragrafoelenco"/>
        <w:numPr>
          <w:ilvl w:val="0"/>
          <w:numId w:val="23"/>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Strategies for Accelerating Progress Towards SDG 7.1</w:t>
      </w:r>
    </w:p>
    <w:p w:rsidR="008C0579" w:rsidRPr="00842337" w:rsidRDefault="008C0579" w:rsidP="008C0579">
      <w:pPr>
        <w:pStyle w:val="Paragrafoelenco"/>
        <w:numPr>
          <w:ilvl w:val="0"/>
          <w:numId w:val="23"/>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Role of Education and Awareness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Chapter 12: Global Perspectives on PBRC Patents and SDG 7.1</w:t>
      </w:r>
    </w:p>
    <w:p w:rsidR="008C0579" w:rsidRPr="00842337" w:rsidRDefault="008C0579" w:rsidP="008C0579">
      <w:pPr>
        <w:pStyle w:val="Paragrafoelenco"/>
        <w:numPr>
          <w:ilvl w:val="0"/>
          <w:numId w:val="2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Regional Variances in Energy Access</w:t>
      </w:r>
    </w:p>
    <w:p w:rsidR="008C0579" w:rsidRPr="00842337" w:rsidRDefault="008C0579" w:rsidP="008C0579">
      <w:pPr>
        <w:pStyle w:val="Paragrafoelenco"/>
        <w:numPr>
          <w:ilvl w:val="0"/>
          <w:numId w:val="2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Global Goals and Local Realities</w:t>
      </w:r>
    </w:p>
    <w:p w:rsidR="008C0579" w:rsidRPr="00842337" w:rsidRDefault="008C0579" w:rsidP="008C0579">
      <w:pPr>
        <w:pStyle w:val="Paragrafoelenco"/>
        <w:numPr>
          <w:ilvl w:val="0"/>
          <w:numId w:val="2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Future Trends in PBRC Patents for SDG 7.1</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13: Future Prospect</w:t>
      </w:r>
    </w:p>
    <w:p w:rsidR="008C0579" w:rsidRPr="00842337" w:rsidRDefault="008C0579" w:rsidP="008C0579">
      <w:pPr>
        <w:numPr>
          <w:ilvl w:val="0"/>
          <w:numId w:val="40"/>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Emerging trends in sustainable energy and PBRC technology</w:t>
      </w:r>
    </w:p>
    <w:p w:rsidR="008C0579" w:rsidRPr="00842337" w:rsidRDefault="008C0579" w:rsidP="008C0579">
      <w:pPr>
        <w:numPr>
          <w:ilvl w:val="0"/>
          <w:numId w:val="40"/>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potential for PBRC to shape the future of SDG 7.1</w:t>
      </w:r>
    </w:p>
    <w:p w:rsidR="008C0579" w:rsidRPr="00842337" w:rsidRDefault="008C0579" w:rsidP="008C0579">
      <w:pPr>
        <w:numPr>
          <w:ilvl w:val="0"/>
          <w:numId w:val="40"/>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Predictions and aspirations for the next decade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Chapter 14: Summary</w:t>
      </w:r>
    </w:p>
    <w:p w:rsidR="008C0579" w:rsidRPr="00842337" w:rsidRDefault="008C0579" w:rsidP="008C0579">
      <w:pPr>
        <w:pStyle w:val="Paragrafoelenco"/>
        <w:numPr>
          <w:ilvl w:val="0"/>
          <w:numId w:val="25"/>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Recap of Key Points</w:t>
      </w:r>
    </w:p>
    <w:p w:rsidR="008C0579" w:rsidRPr="00842337" w:rsidRDefault="008C0579" w:rsidP="008C0579">
      <w:pPr>
        <w:pStyle w:val="Paragrafoelenco"/>
        <w:numPr>
          <w:ilvl w:val="0"/>
          <w:numId w:val="25"/>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Path Ahead</w:t>
      </w:r>
    </w:p>
    <w:p w:rsidR="008C0579" w:rsidRPr="00842337" w:rsidRDefault="008C0579" w:rsidP="008C0579">
      <w:pPr>
        <w:rPr>
          <w:rFonts w:ascii="Times New Roman" w:hAnsi="Times New Roman" w:cs="Times New Roman"/>
          <w:b/>
          <w:bCs/>
          <w:sz w:val="24"/>
          <w:szCs w:val="24"/>
        </w:rPr>
      </w:pPr>
      <w:r w:rsidRPr="00842337">
        <w:rPr>
          <w:rFonts w:ascii="Times New Roman" w:hAnsi="Times New Roman" w:cs="Times New Roman"/>
          <w:b/>
          <w:bCs/>
          <w:sz w:val="24"/>
          <w:szCs w:val="24"/>
        </w:rPr>
        <w:br w:type="page"/>
      </w:r>
    </w:p>
    <w:p w:rsidR="008C0579" w:rsidRPr="00842337" w:rsidRDefault="008C0579" w:rsidP="008C0579">
      <w:pPr>
        <w:pStyle w:val="Titolo1"/>
        <w:rPr>
          <w:rFonts w:ascii="Times New Roman" w:hAnsi="Times New Roman" w:cs="Times New Roman"/>
          <w:lang w:val="en-US"/>
        </w:rPr>
      </w:pPr>
      <w:bookmarkStart w:id="49" w:name="_Toc148255236"/>
      <w:bookmarkStart w:id="50" w:name="_Toc148257127"/>
      <w:bookmarkStart w:id="51" w:name="_Toc149491238"/>
      <w:r w:rsidRPr="00842337">
        <w:rPr>
          <w:rFonts w:ascii="Times New Roman" w:hAnsi="Times New Roman" w:cs="Times New Roman"/>
          <w:lang w:val="en-US"/>
        </w:rPr>
        <w:lastRenderedPageBreak/>
        <w:t>The photo bio reactor continuous (pbrc) patent</w:t>
      </w:r>
      <w:bookmarkEnd w:id="49"/>
      <w:bookmarkEnd w:id="50"/>
      <w:bookmarkEnd w:id="51"/>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History and Development of PBRC Technology: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history of PBRC technology is a fascinating journey that underscores the ever-evolving nature of sustainable energy solutions. This chapter delves into the origins and development of PBRC, tracing its evolution from initial concepts to its modern-day applications.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Early Conceptualization</w:t>
      </w:r>
    </w:p>
    <w:p w:rsidR="008C0579" w:rsidRPr="00842337" w:rsidRDefault="008C0579" w:rsidP="008C0579">
      <w:pPr>
        <w:jc w:val="both"/>
        <w:rPr>
          <w:rFonts w:ascii="Times New Roman" w:hAnsi="Times New Roman" w:cs="Times New Roman"/>
          <w:sz w:val="24"/>
          <w:szCs w:val="24"/>
        </w:rPr>
      </w:pPr>
      <w:r w:rsidRPr="00842337">
        <w:rPr>
          <w:rFonts w:ascii="Times New Roman" w:hAnsi="Times New Roman" w:cs="Times New Roman"/>
          <w:sz w:val="24"/>
          <w:szCs w:val="24"/>
          <w:lang w:val="en-US"/>
        </w:rPr>
        <w:t xml:space="preserve">The concept of harnessing photosynthetic organisms for sustainable energy generation dates back several decades. Scientists and researchers recognized the potential of microorganisms like algae and cyanobacteria to capture sunlight and convert it into energy-rich compounds. </w:t>
      </w:r>
      <w:r w:rsidRPr="00842337">
        <w:rPr>
          <w:rFonts w:ascii="Times New Roman" w:hAnsi="Times New Roman" w:cs="Times New Roman"/>
          <w:sz w:val="24"/>
          <w:szCs w:val="24"/>
        </w:rPr>
        <w:t>Early experiments laid the foundation for PBRC technology.</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Milestones in Development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Significant milestones in PBRC technology include the design and optimization of bioreactors, advancements in the selection of microorganisms, and the integration of innovative photobioreactor designs. These milestones have contributed to the improved efficiency and scalability of PBRC systems.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lastRenderedPageBreak/>
        <w:t>Commercialization and Widespread Adoption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commercialization of PBRC technology in recent years has been a critical development. Start-ups, research institutions, and established companies have recognized the commercial potential of PBRC, leading to a surge in research, development, and investments in this field.</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Key Features and Components of PBRC:</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Understanding the core features and components of PBRC technology is essential to appreciate its significance. This section explores the fundamental elements that make PBRC a unique and promising approach to sustainable energy production.</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Microorganisms in PBRC</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Microorganisms, such as algae and cyanobacteria, are central to PBRC technology. Their photosynthetic activity allows them to capture solar energy and convert it into biomass, which can be further processed into biofuels. The selection and engineering of these microorganisms are critical for optimizing PBRC efficiency.</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Photobioreactors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The photobioreactor is the heart of PBRC systems. It provides a controlled environment for the cultivation of </w:t>
      </w:r>
      <w:r w:rsidRPr="00842337">
        <w:rPr>
          <w:rFonts w:ascii="Times New Roman" w:hAnsi="Times New Roman" w:cs="Times New Roman"/>
          <w:sz w:val="24"/>
          <w:szCs w:val="24"/>
          <w:lang w:val="en-US"/>
        </w:rPr>
        <w:lastRenderedPageBreak/>
        <w:t>microorganisms, enabling efficient photosynthesis. Various designs, such as closed-loop systems, open-pond systems, and tubular reactors, exist to suit different applications.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Light Capture and Distribution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Efficient light capture and distribution mechanisms are crucial in PBRC systems. Light sources, optical components, and light distribution strategies are designed to ensure that microorganisms receive the optimal amount of light for photosynthesis.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Carbon Dioxide Sequestration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Carbon dioxide capture and utilization are integrated into PBRC technology. This not only reduces greenhouse gas emissions but also provides a source of carbon for microorganisms, enhancing their growth and energy production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The Significance of the PBRC Patent in Advancing Sustainable Energy: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Intellectual property protection, particularly patents, plays a pivotal role in advancing innovations like PBRC technology. This section explores the importance of patent </w:t>
      </w:r>
      <w:r w:rsidRPr="00842337">
        <w:rPr>
          <w:rFonts w:ascii="Times New Roman" w:hAnsi="Times New Roman" w:cs="Times New Roman"/>
          <w:sz w:val="24"/>
          <w:szCs w:val="24"/>
          <w:lang w:val="en-US"/>
        </w:rPr>
        <w:lastRenderedPageBreak/>
        <w:t>protection in the development, commercialization, and dissemination of PBRC innovations.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Incentives for Innovation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Patents serve as incentives for inventors and organizations to invest in research and development. The prospect of securing exclusive rights to their innovations motivates scientists and engineers to explore novel approaches to sustainable energy production, including PBRC.</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Protection of Intellectual Property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patent system provides legal protection for the intellectual property associated with PBRC technology. This safeguards the inventors' rights and prevents unauthorized use or replication of their innovations.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Knowledge Sharing and Collaboration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While patents protect intellectual property, they also encourage knowledge sharing and collaboration. Inventors often license their patents to others, fostering a culture of innovation and cooperation within the PBRC community</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Challenges in Patenting PBRC Technology: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The process of patenting PBRC technology is not without its challenges. This section examines some of the common hurdles faced by inventors and organizations in obtaining patent protection for their PBRC innovations.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Prior Art and Novelty*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 applications must demonstrate that the innovation is novel and inventive. Inventors may encounter challenges if similar concepts or technologies exist in prior art.</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Patentability of Biological Inventions</w:t>
      </w:r>
      <w:r w:rsidRPr="00842337">
        <w:rPr>
          <w:rFonts w:ascii="Times New Roman" w:hAnsi="Times New Roman" w:cs="Times New Roman"/>
          <w:sz w:val="24"/>
          <w:szCs w:val="24"/>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PBRC technology often involves biological components, and patenting biological inventions can be complex due to regulatory and ethical considerations.</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Intellectual Property Disputes*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Competing claims to similar innovations can lead to intellectual property disputes, which may delay the patenting process and require legal resolutions.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Opportunities and Implications of PBRC Patenting</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Despite the challenges, patenting PBRC technology offers significant opportunities and implications for the sustainable energy landscape. This section discusses the </w:t>
      </w:r>
      <w:r w:rsidRPr="00842337">
        <w:rPr>
          <w:rFonts w:ascii="Times New Roman" w:hAnsi="Times New Roman" w:cs="Times New Roman"/>
          <w:sz w:val="24"/>
          <w:szCs w:val="24"/>
          <w:lang w:val="en-US"/>
        </w:rPr>
        <w:lastRenderedPageBreak/>
        <w:t>broader implications of PBRC patents in the context of SDG 7.1.</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Knowledge Transfer*</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patent system facilitates knowledge transfer by requiring inventors to disclose their innovations. This enables others to build upon existing knowledge, accelerating the development of PBRC technology.</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Investment and Funding*</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Patents make PBRC innovations more attractive to investors and funding agencies, as they assure that intellectual property rights are protected.</w:t>
      </w:r>
    </w:p>
    <w:p w:rsidR="008C0579" w:rsidRPr="00842337" w:rsidRDefault="008C0579" w:rsidP="008C0579">
      <w:pPr>
        <w:pStyle w:val="Paragrafoelenco"/>
        <w:numPr>
          <w:ilvl w:val="0"/>
          <w:numId w:val="3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Technology Commercialization*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ability to protect and license PBRC patents enhances the commercialization potential of this technology, driving its adoption in the energy sector.</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Summary: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This chapter has provided an in-depth exploration of the Photo Bio Reactor Continuous (PBRC) patent and its significance in the context of sustainable energy, particularly in the pursuit of SDG 7.1. From its historical development to its key features and components, PBRC </w:t>
      </w:r>
      <w:r w:rsidRPr="00842337">
        <w:rPr>
          <w:rFonts w:ascii="Times New Roman" w:hAnsi="Times New Roman" w:cs="Times New Roman"/>
          <w:sz w:val="24"/>
          <w:szCs w:val="24"/>
          <w:lang w:val="en-US"/>
        </w:rPr>
        <w:lastRenderedPageBreak/>
        <w:t>technology stands as a remarkable innovation with great potential. The role of patent protection in advancing PBRC innovations is evident, and while challenges exist, the opportunities for knowledge sharing, investment, and technology commercialization are substantial. In the following chapters, we will further examine recent innovations and case studies to underscore the real-world impact of PBRC technology and its patent.Chapter 5: PBRC Commercialization and Market Potential.</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52" w:name="_Toc148255237"/>
      <w:bookmarkStart w:id="53" w:name="_Toc148257128"/>
      <w:bookmarkStart w:id="54" w:name="_Toc149491239"/>
      <w:r w:rsidRPr="00842337">
        <w:rPr>
          <w:rFonts w:ascii="Times New Roman" w:hAnsi="Times New Roman" w:cs="Times New Roman"/>
          <w:lang w:val="en-US"/>
        </w:rPr>
        <w:lastRenderedPageBreak/>
        <w:t>The Science Behind PBRC</w:t>
      </w:r>
      <w:bookmarkEnd w:id="52"/>
      <w:bookmarkEnd w:id="53"/>
      <w:bookmarkEnd w:id="54"/>
    </w:p>
    <w:p w:rsidR="008C0579" w:rsidRPr="00842337" w:rsidRDefault="008C0579" w:rsidP="008C0579">
      <w:pPr>
        <w:rPr>
          <w:rFonts w:ascii="Times New Roman" w:hAnsi="Times New Roman" w:cs="Times New Roman"/>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Introduction: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this chapter, we will explore the commercialization potential of Photo Bio Reactor Continuous (PBRC) technology and its market prospects. PBRC has gained significant attention in recent years due to its potential to address the energy and environmental challenges outlined in SDG 7.1. We will discuss the various factors that contribute to the market potential of PBRC and the challenges that need to be overcome for successful commercialization.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2.1 Market Opportunities for PBRC Implementation: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PBRC technology offers several market opportunities across various sectors. The following are some key areas where PBRC can be implemented:</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1</w:t>
      </w:r>
      <w:r w:rsidRPr="00842337">
        <w:rPr>
          <w:rFonts w:ascii="Times New Roman" w:hAnsi="Times New Roman" w:cs="Times New Roman"/>
          <w:b/>
          <w:bCs/>
          <w:sz w:val="24"/>
          <w:szCs w:val="24"/>
          <w:lang w:val="en-US"/>
        </w:rPr>
        <w:t>. Energy Generation</w:t>
      </w:r>
      <w:r w:rsidRPr="00842337">
        <w:rPr>
          <w:rFonts w:ascii="Times New Roman" w:hAnsi="Times New Roman" w:cs="Times New Roman"/>
          <w:sz w:val="24"/>
          <w:szCs w:val="24"/>
          <w:lang w:val="en-US"/>
        </w:rPr>
        <w:t>: PBRC can be used to produce biofuels, such as biodiesel and bioethanol, which can replace fossil fuels in transportation and power generation. This presents a significant market opportunity as the demand for renewable energy sources continues to grow.</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2. Waste Treatment and Resource Recovery</w:t>
      </w:r>
      <w:r w:rsidRPr="00842337">
        <w:rPr>
          <w:rFonts w:ascii="Times New Roman" w:hAnsi="Times New Roman" w:cs="Times New Roman"/>
          <w:sz w:val="24"/>
          <w:szCs w:val="24"/>
          <w:lang w:val="en-US"/>
        </w:rPr>
        <w:t>: PBRC can be utilized for the treatment of wastewater and the recovery of valuable resources, such as nutrients and organic compounds. This can help in addressing the global water crisis and create a market for sustainable waste management 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 Food and Agriculture:</w:t>
      </w:r>
      <w:r w:rsidRPr="00842337">
        <w:rPr>
          <w:rFonts w:ascii="Times New Roman" w:hAnsi="Times New Roman" w:cs="Times New Roman"/>
          <w:sz w:val="24"/>
          <w:szCs w:val="24"/>
          <w:lang w:val="en-US"/>
        </w:rPr>
        <w:t xml:space="preserve"> PBRC can be employed for the production of high-value products, such as microalgae-based nutritional supplements and animal feed. This can contribute to food security and provide a sustainable alternative to traditional agricultural practices.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2.2 PBRC's Alignment with SDG 7.1 and Other SDGs: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PBRC technology aligns closely with SDG 7.1, which aims to ensure universal access to affordable, reliable, and modern energy services. By utilizing renewable energy sources and reducing greenhouse gas emissions, PBRC contributes to the achievement of this goal. Additionally, PBRC also aligns with other SDGs, such as: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1. SDG 2: Zero Hunger -</w:t>
      </w:r>
      <w:r w:rsidRPr="00842337">
        <w:rPr>
          <w:rFonts w:ascii="Times New Roman" w:hAnsi="Times New Roman" w:cs="Times New Roman"/>
          <w:sz w:val="24"/>
          <w:szCs w:val="24"/>
          <w:lang w:val="en-US"/>
        </w:rPr>
        <w:t xml:space="preserve"> PBRC can contribute to sustainable agriculture and food production, addressing the challenge of hunger and malnutrition.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2. SDG 6: Clean Water and Sanitation -</w:t>
      </w:r>
      <w:r w:rsidRPr="00842337">
        <w:rPr>
          <w:rFonts w:ascii="Times New Roman" w:hAnsi="Times New Roman" w:cs="Times New Roman"/>
          <w:sz w:val="24"/>
          <w:szCs w:val="24"/>
          <w:lang w:val="en-US"/>
        </w:rPr>
        <w:t xml:space="preserve"> PBRC can be used for wastewater treatment, reducing water pollution and ensuring clean water availability.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 SDG 9: Industry, Innovation, and Infrastructure -</w:t>
      </w:r>
      <w:r w:rsidRPr="00842337">
        <w:rPr>
          <w:rFonts w:ascii="Times New Roman" w:hAnsi="Times New Roman" w:cs="Times New Roman"/>
          <w:sz w:val="24"/>
          <w:szCs w:val="24"/>
          <w:lang w:val="en-US"/>
        </w:rPr>
        <w:t xml:space="preserve"> PBRC presents an innovative solution for sustainable energy production and resource recovery, promoting sustainable industrialization.</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2.3 Future Prospects and Challenges of PBRC:</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While PBRC holds immense potential, there are several challenges that need to be addressed for its successful commercialization. Some of the key challenges include: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1. Cost-effectiveness:</w:t>
      </w:r>
      <w:r w:rsidRPr="00842337">
        <w:rPr>
          <w:rFonts w:ascii="Times New Roman" w:hAnsi="Times New Roman" w:cs="Times New Roman"/>
          <w:sz w:val="24"/>
          <w:szCs w:val="24"/>
          <w:lang w:val="en-US"/>
        </w:rPr>
        <w:t xml:space="preserve"> The initial investment and operational costs of PBRC systems can be high. Further research and development are required to optimize the design and reduce the overall cost of PBRC implementation.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2. Scalability:</w:t>
      </w:r>
      <w:r w:rsidRPr="00842337">
        <w:rPr>
          <w:rFonts w:ascii="Times New Roman" w:hAnsi="Times New Roman" w:cs="Times New Roman"/>
          <w:sz w:val="24"/>
          <w:szCs w:val="24"/>
          <w:lang w:val="en-US"/>
        </w:rPr>
        <w:t xml:space="preserve"> Scaling up PBRC systems to meet commercial demands can be challenging. The development of standardized and modular PBRC units can facilitate scalability and widespread adoption.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3. Regulatory Framework:</w:t>
      </w:r>
      <w:r w:rsidRPr="00842337">
        <w:rPr>
          <w:rFonts w:ascii="Times New Roman" w:hAnsi="Times New Roman" w:cs="Times New Roman"/>
          <w:sz w:val="24"/>
          <w:szCs w:val="24"/>
          <w:lang w:val="en-US"/>
        </w:rPr>
        <w:t xml:space="preserve"> The development of a supportive regulatory framework is crucial for the commercialization of PBRC. Clear guidelines and incentives can encourage investment and facilitate market growth.</w:t>
      </w:r>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2.4 Summary: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this chapter, we have explored the commercialization potential of PBRC technology and its market prospects. PBRC offers significant opportunities in energy generation, waste treatment, and food production. Its alignment with SDG 7.1 and other SDGs further enhances its market potential. However, challenges related to cost-effectiveness, scalability, and regulatory frameworks need to be addressed for successful commercialization. In the next chapter, we will summarize the key findings and provide recommendations for further research and development in the field of PBRC.</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55" w:name="_Toc148255238"/>
      <w:bookmarkStart w:id="56" w:name="_Toc148257129"/>
      <w:bookmarkStart w:id="57" w:name="_Toc149491240"/>
      <w:r w:rsidRPr="00842337">
        <w:rPr>
          <w:rFonts w:ascii="Times New Roman" w:hAnsi="Times New Roman" w:cs="Times New Roman"/>
          <w:lang w:val="en-US"/>
        </w:rPr>
        <w:lastRenderedPageBreak/>
        <w:t>PBRC Patents and Projects</w:t>
      </w:r>
      <w:bookmarkEnd w:id="55"/>
      <w:bookmarkEnd w:id="56"/>
      <w:bookmarkEnd w:id="57"/>
    </w:p>
    <w:p w:rsidR="008C0579" w:rsidRPr="00842337" w:rsidRDefault="008C0579" w:rsidP="008C0579">
      <w:pPr>
        <w:rPr>
          <w:rFonts w:ascii="Times New Roman" w:hAnsi="Times New Roman" w:cs="Times New Roman"/>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3.1 Introduction to PBRC Patents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The Photo Bio Reactor Continuous (PBRC) technology has gained significant attention in recent years due to its potential in addressing the challenges of sustainable energy and water management. As a result, several patents have been filed to protect the innovative aspects of PBRC and its applications. In this chapter, we will explore the patents related to PBRC and the projects that have been undertaken to further develop and commercialize this technology.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 xml:space="preserve">3.2 Patent Landscape of PBRC: </w:t>
      </w:r>
      <w:r w:rsidRPr="00842337">
        <w:rPr>
          <w:rFonts w:ascii="Times New Roman" w:hAnsi="Times New Roman" w:cs="Times New Roman"/>
          <w:sz w:val="24"/>
          <w:szCs w:val="24"/>
          <w:lang w:val="en-US"/>
        </w:rPr>
        <w:t>The patent landscape surrounding PBRC technology is diverse and encompasses various aspects of its design, operation, and applications. These patents cover areas such as reactor design, cultivation techniques, light management, carbon dioxide capture and utilization, monitoring and control systems, and integration with other renewable energy systems. The patents not only protect the intellectual property of the inventors but also provide a foundation for further research and development in the field.</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3.3 Commercialization of PBRC Patents:</w:t>
      </w:r>
      <w:r w:rsidRPr="00842337">
        <w:rPr>
          <w:rFonts w:ascii="Times New Roman" w:hAnsi="Times New Roman" w:cs="Times New Roman"/>
          <w:sz w:val="24"/>
          <w:szCs w:val="24"/>
          <w:lang w:val="en-US"/>
        </w:rPr>
        <w:t xml:space="preserve">Commercialization plays a crucial role in </w:t>
      </w:r>
      <w:r w:rsidRPr="00842337">
        <w:rPr>
          <w:rFonts w:ascii="Times New Roman" w:hAnsi="Times New Roman" w:cs="Times New Roman"/>
          <w:sz w:val="24"/>
          <w:szCs w:val="24"/>
          <w:lang w:val="en-US"/>
        </w:rPr>
        <w:lastRenderedPageBreak/>
        <w:t>bringing PBRC technology from the laboratory to the market. Companies and research institutions have recognized the potential of PBRC and have invested in the development and commercialization of this technology. Licensing agreements, joint ventures, and strategic partnerships have been formed to leverage the patented aspects of PBRC and bring innovative products and solutions to the market.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3.4 Market Potential of PBRC</w:t>
      </w:r>
      <w:r w:rsidRPr="00842337">
        <w:rPr>
          <w:rFonts w:ascii="Times New Roman" w:hAnsi="Times New Roman" w:cs="Times New Roman"/>
          <w:sz w:val="24"/>
          <w:szCs w:val="24"/>
          <w:lang w:val="en-US"/>
        </w:rPr>
        <w:t>:  The market potential of PBRC technology is vast, with applications in various sectors such as energy, agriculture, pharmaceuticals, and wastewater treatment. The ability of PBRC to efficiently capture solar energy and convert it into biomass or other valuable products makes it a promising technology for sustainable development. This chapter will explore the market potential of PBRC and the opportunities it presents for businesses and investors.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3.5 PBRC and the United Nations Sustainable Development Goals:</w:t>
      </w:r>
      <w:r w:rsidRPr="00842337">
        <w:rPr>
          <w:rFonts w:ascii="Times New Roman" w:hAnsi="Times New Roman" w:cs="Times New Roman"/>
          <w:sz w:val="24"/>
          <w:szCs w:val="24"/>
          <w:lang w:val="en-US"/>
        </w:rPr>
        <w:t xml:space="preserve">PBRC technology aligns with several United Nations Sustainable Development Goals (SDGs), particularly SDG 7.1, which aims to ensure universal access to affordable, reliable, and modern energy services. By harnessing solar energy and converting it into usable forms, PBRC contributes to the transition towards clean and sustainable energy sources. This chapter will </w:t>
      </w:r>
      <w:r w:rsidRPr="00842337">
        <w:rPr>
          <w:rFonts w:ascii="Times New Roman" w:hAnsi="Times New Roman" w:cs="Times New Roman"/>
          <w:sz w:val="24"/>
          <w:szCs w:val="24"/>
          <w:lang w:val="en-US"/>
        </w:rPr>
        <w:lastRenderedPageBreak/>
        <w:t>discuss the alignment of PBRC with the SDGs and its potential to contribute to a more sustainable future.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3.6 Ongoing Projects and Future Developments:</w:t>
      </w:r>
      <w:r w:rsidRPr="00842337">
        <w:rPr>
          <w:rFonts w:ascii="Times New Roman" w:hAnsi="Times New Roman" w:cs="Times New Roman"/>
          <w:sz w:val="24"/>
          <w:szCs w:val="24"/>
          <w:lang w:val="en-US"/>
        </w:rPr>
        <w:t xml:space="preserve"> The field of PBRC is continuously evolving, with ongoing projects and research initiatives aimed at improving the efficiency, scalability, and cost-effectiveness of this technology. This chapter will provide an overview of the current projects and research efforts in the field of PBRC, highlighting the advancements being made and the potential future developments that could shape the industry.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3.7 Summary:</w:t>
      </w:r>
      <w:r w:rsidRPr="00842337">
        <w:rPr>
          <w:rFonts w:ascii="Times New Roman" w:hAnsi="Times New Roman" w:cs="Times New Roman"/>
          <w:sz w:val="24"/>
          <w:szCs w:val="24"/>
          <w:lang w:val="en-US"/>
        </w:rPr>
        <w:t xml:space="preserve"> PBRC patents and projects play a crucial role in the development and commercialization of this innovative technology. The protection of intellectual property rights through patents ensures that inventors and companies can reap the benefits of their research and development efforts. Furthermore, ongoing projects and research initiatives contribute to the continuous improvement and advancement of PBRC technology, paving the way for a sustainable future. In the next chapter, we will delve into the economic and environmental benefits of PBRC technology and its potential impact on society.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58" w:name="_Toc148255239"/>
      <w:bookmarkStart w:id="59" w:name="_Toc148257130"/>
      <w:bookmarkStart w:id="60" w:name="_Toc149491241"/>
      <w:r w:rsidRPr="00842337">
        <w:rPr>
          <w:rFonts w:ascii="Times New Roman" w:hAnsi="Times New Roman" w:cs="Times New Roman"/>
          <w:lang w:val="en-US"/>
        </w:rPr>
        <w:lastRenderedPageBreak/>
        <w:t>PBRC and the UN on Sustainable Development Goals</w:t>
      </w:r>
      <w:bookmarkEnd w:id="58"/>
      <w:bookmarkEnd w:id="59"/>
      <w:bookmarkEnd w:id="60"/>
    </w:p>
    <w:p w:rsidR="008C0579" w:rsidRPr="00842337" w:rsidRDefault="00562939" w:rsidP="008C0579">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rect id="Rectangle 4"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Pr>
          <w:rFonts w:ascii="Times New Roman" w:hAnsi="Times New Roman" w:cs="Times New Roman"/>
          <w:sz w:val="24"/>
          <w:szCs w:val="24"/>
        </w:rPr>
      </w:r>
      <w:r>
        <w:rPr>
          <w:rFonts w:ascii="Times New Roman" w:hAnsi="Times New Roman" w:cs="Times New Roman"/>
          <w:sz w:val="24"/>
          <w:szCs w:val="24"/>
        </w:rPr>
        <w:pict>
          <v:rect id="Rectangle 3" o:spid="_x0000_s1026" alt="Member"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Chapter 4, we will explore the connection between PBRC technology and the United Nations Sustainable Development Goals (SDGs). PBRC has the potential to contribute significantly to SDG 7.1, which aims to ensure universal access to affordable, reliable, and modern energy services.</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Introduction to SDGs:</w:t>
      </w:r>
      <w:r w:rsidRPr="00842337">
        <w:rPr>
          <w:rFonts w:ascii="Times New Roman" w:hAnsi="Times New Roman" w:cs="Times New Roman"/>
          <w:sz w:val="24"/>
          <w:szCs w:val="24"/>
          <w:lang w:val="en-US"/>
        </w:rPr>
        <w:t xml:space="preserve"> We will provide a brief overview of the SDGs and their importance in addressing global challenges such as poverty, inequality, and climate change.</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PBRC and Energy Poverty:</w:t>
      </w:r>
      <w:r w:rsidRPr="00842337">
        <w:rPr>
          <w:rFonts w:ascii="Times New Roman" w:hAnsi="Times New Roman" w:cs="Times New Roman"/>
          <w:sz w:val="24"/>
          <w:szCs w:val="24"/>
          <w:lang w:val="en-US"/>
        </w:rPr>
        <w:t xml:space="preserve"> Energy poverty is a pressing issue in many developing countries, where a significant portion of the population lacks access to electricity. We will discuss how PBRC technology can play a crucial role in providing clean and affordable energy solutions to underserved communities, thereby helping to alleviate energy poverty.</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Climate Change Mitigation:</w:t>
      </w:r>
      <w:r w:rsidRPr="00842337">
        <w:rPr>
          <w:rFonts w:ascii="Times New Roman" w:hAnsi="Times New Roman" w:cs="Times New Roman"/>
          <w:sz w:val="24"/>
          <w:szCs w:val="24"/>
          <w:lang w:val="en-US"/>
        </w:rPr>
        <w:t xml:space="preserve"> Climate change is one of the most significant challenges of our time. PBRC technology offers a sustainable and renewable energy source that can help reduce greenhouse gas emissions and mitigate the impacts of climate change. We will explore the potential of PBRC in contributing to SDG 13, which focuses on climate action.</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Case Studies</w:t>
      </w:r>
      <w:r w:rsidRPr="00842337">
        <w:rPr>
          <w:rFonts w:ascii="Times New Roman" w:hAnsi="Times New Roman" w:cs="Times New Roman"/>
          <w:sz w:val="24"/>
          <w:szCs w:val="24"/>
          <w:lang w:val="en-US"/>
        </w:rPr>
        <w:t>: We will examine real-life examples of PBRC projects that have successfully contributed to SDG 7.1 and other relevant SDGs. These case studies will highlight the positive impact of PBRC technology in various regions and communities.</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Future Prospects:</w:t>
      </w:r>
      <w:r w:rsidRPr="00842337">
        <w:rPr>
          <w:rFonts w:ascii="Times New Roman" w:hAnsi="Times New Roman" w:cs="Times New Roman"/>
          <w:sz w:val="24"/>
          <w:szCs w:val="24"/>
          <w:lang w:val="en-US"/>
        </w:rPr>
        <w:t xml:space="preserve"> In this section, we will discuss the future prospects of PBRC technology in relation to the SDGs. We will explore the potential for scaling up PBRC projects globally and the role of international collaborations and partnerships in achieving the SDGs.</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Challenges and Solutions:</w:t>
      </w:r>
      <w:r w:rsidRPr="00842337">
        <w:rPr>
          <w:rFonts w:ascii="Times New Roman" w:hAnsi="Times New Roman" w:cs="Times New Roman"/>
          <w:sz w:val="24"/>
          <w:szCs w:val="24"/>
          <w:lang w:val="en-US"/>
        </w:rPr>
        <w:t xml:space="preserve"> While PBRC technology holds immense promise, there are several challenges that need to be addressed for its successful implementation. </w:t>
      </w:r>
      <w:r w:rsidRPr="00842337">
        <w:rPr>
          <w:rFonts w:ascii="Times New Roman" w:hAnsi="Times New Roman" w:cs="Times New Roman"/>
          <w:sz w:val="24"/>
          <w:szCs w:val="24"/>
          <w:lang w:val="en-US"/>
        </w:rPr>
        <w:lastRenderedPageBreak/>
        <w:t>We will discuss the challenges related to cost-effectiveness, scalability, and regulatory frameworks. Additionally, we will propose potential solutions and strategies to overcome these challenges.</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Policy Recommendations:</w:t>
      </w:r>
      <w:r w:rsidRPr="00842337">
        <w:rPr>
          <w:rFonts w:ascii="Times New Roman" w:hAnsi="Times New Roman" w:cs="Times New Roman"/>
          <w:sz w:val="24"/>
          <w:szCs w:val="24"/>
          <w:lang w:val="en-US"/>
        </w:rPr>
        <w:t xml:space="preserve"> To fully harness the potential of PBRC technology in achieving the SDGs, supportive policies and regulations are crucial. We will provide recommendations for policymakers and stakeholders on creating an enabling environment for the widespread adoption of PBRC technology.</w:t>
      </w:r>
    </w:p>
    <w:p w:rsidR="008C0579" w:rsidRPr="00842337" w:rsidRDefault="008C0579" w:rsidP="008C0579">
      <w:pPr>
        <w:numPr>
          <w:ilvl w:val="0"/>
          <w:numId w:val="51"/>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Summary:</w:t>
      </w:r>
      <w:r w:rsidRPr="00842337">
        <w:rPr>
          <w:rFonts w:ascii="Times New Roman" w:hAnsi="Times New Roman" w:cs="Times New Roman"/>
          <w:sz w:val="24"/>
          <w:szCs w:val="24"/>
          <w:lang w:val="en-US"/>
        </w:rPr>
        <w:t xml:space="preserve"> We will conclude the chapter by summarizing the key points discussed and emphasizing the importance of PBRC technology in contributing to SDG 7.1 and the broader sustainable development agenda.</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By exploring the connection between PBRC technology and the SDGs, this chapter will highlight the significance of PBRC in addressing global energy challenges and promoting sustainable development.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61" w:name="_Toc148255240"/>
      <w:bookmarkStart w:id="62" w:name="_Toc148257131"/>
      <w:bookmarkStart w:id="63" w:name="_Toc149491242"/>
      <w:r w:rsidRPr="00842337">
        <w:rPr>
          <w:rFonts w:ascii="Times New Roman" w:hAnsi="Times New Roman" w:cs="Times New Roman"/>
          <w:lang w:val="en-US"/>
        </w:rPr>
        <w:lastRenderedPageBreak/>
        <w:t>The Real Structure of PBRC (Photo Bio Reactor Continuous)</w:t>
      </w:r>
      <w:bookmarkEnd w:id="61"/>
      <w:bookmarkEnd w:id="62"/>
      <w:bookmarkEnd w:id="63"/>
    </w:p>
    <w:p w:rsidR="008C0579" w:rsidRPr="00842337" w:rsidRDefault="008C0579" w:rsidP="008C0579">
      <w:pPr>
        <w:rPr>
          <w:rFonts w:ascii="Times New Roman" w:hAnsi="Times New Roman" w:cs="Times New Roman"/>
          <w:lang w:val="en-US"/>
        </w:rPr>
      </w:pPr>
    </w:p>
    <w:p w:rsidR="008C0579" w:rsidRPr="00842337" w:rsidRDefault="008C0579" w:rsidP="008C0579">
      <w:pPr>
        <w:pStyle w:val="Paragrafoelenc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Introduction:</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 Photobioreactors (PBRs) are closed cultivation systems designed to grow microalgae and carry out fermentation processes by harnessing sunlight or artificial illumination . PBRs play a crucial role in maintaining optimal temperatures for outdoor cultivation, as excess light can lead to overheating and culture failure. This chapter explores the real structure of the Photobioreactor Continuous (PBRC), highlighting its components, operation, advantages, and challenges.</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Real Structure of PBRC The PBRC is a closed photobioreactor that operates on a continuous approach, maintaining temperatures ranging from 25-40°C . It consists of several essential components:</w:t>
      </w:r>
    </w:p>
    <w:p w:rsidR="008C0579" w:rsidRPr="00842337" w:rsidRDefault="008C0579" w:rsidP="008C0579">
      <w:pPr>
        <w:pStyle w:val="Paragrafoelenco"/>
        <w:numPr>
          <w:ilvl w:val="0"/>
          <w:numId w:val="4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Solar Receivers</w:t>
      </w:r>
      <w:r w:rsidRPr="00842337">
        <w:rPr>
          <w:rFonts w:ascii="Times New Roman" w:hAnsi="Times New Roman" w:cs="Times New Roman"/>
          <w:sz w:val="24"/>
          <w:szCs w:val="24"/>
        </w:rPr>
        <w:t>: These receivers facilitate sunlight penetration into the PBRC and are strategically positioned to maximize exposure .</w:t>
      </w:r>
    </w:p>
    <w:p w:rsidR="008C0579" w:rsidRPr="00842337" w:rsidRDefault="008C0579" w:rsidP="008C0579">
      <w:pPr>
        <w:pStyle w:val="Paragrafoelenco"/>
        <w:numPr>
          <w:ilvl w:val="0"/>
          <w:numId w:val="4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Cultivation Chamber:</w:t>
      </w:r>
      <w:r w:rsidRPr="00842337">
        <w:rPr>
          <w:rFonts w:ascii="Times New Roman" w:hAnsi="Times New Roman" w:cs="Times New Roman"/>
          <w:sz w:val="24"/>
          <w:szCs w:val="24"/>
        </w:rPr>
        <w:t xml:space="preserve"> This is the main body of the PBRC, where the microalgae culture is housed. It is designed to optimize gas-liquid transfer, illumination, and contamination control [2].</w:t>
      </w:r>
    </w:p>
    <w:p w:rsidR="008C0579" w:rsidRPr="00842337" w:rsidRDefault="008C0579" w:rsidP="008C0579">
      <w:pPr>
        <w:pStyle w:val="Paragrafoelenco"/>
        <w:numPr>
          <w:ilvl w:val="0"/>
          <w:numId w:val="4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Pumps:</w:t>
      </w:r>
      <w:r w:rsidRPr="00842337">
        <w:rPr>
          <w:rFonts w:ascii="Times New Roman" w:hAnsi="Times New Roman" w:cs="Times New Roman"/>
          <w:sz w:val="24"/>
          <w:szCs w:val="24"/>
        </w:rPr>
        <w:t xml:space="preserve"> The PBRC employs pumps to continuously circulate the microalgae culture within the solar receivers, ensuring uniform distribution and nutrient availability .</w:t>
      </w:r>
    </w:p>
    <w:p w:rsidR="008C0579" w:rsidRPr="00842337" w:rsidRDefault="008C0579" w:rsidP="008C0579">
      <w:pPr>
        <w:pStyle w:val="Paragrafoelenco"/>
        <w:numPr>
          <w:ilvl w:val="0"/>
          <w:numId w:val="4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CO2 Introduction</w:t>
      </w:r>
      <w:r w:rsidRPr="00842337">
        <w:rPr>
          <w:rFonts w:ascii="Times New Roman" w:hAnsi="Times New Roman" w:cs="Times New Roman"/>
          <w:sz w:val="24"/>
          <w:szCs w:val="24"/>
        </w:rPr>
        <w:t>: Carbon dioxide (CO2) is introduced into the PBRC to provide the necessary carbon source for photosynthesis .</w:t>
      </w:r>
    </w:p>
    <w:p w:rsidR="008C0579" w:rsidRPr="00842337" w:rsidRDefault="008C0579" w:rsidP="008C0579">
      <w:pPr>
        <w:pStyle w:val="Paragrafoelenco"/>
        <w:numPr>
          <w:ilvl w:val="0"/>
          <w:numId w:val="47"/>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Exhaust System:</w:t>
      </w:r>
      <w:r w:rsidRPr="00842337">
        <w:rPr>
          <w:rFonts w:ascii="Times New Roman" w:hAnsi="Times New Roman" w:cs="Times New Roman"/>
          <w:sz w:val="24"/>
          <w:szCs w:val="24"/>
        </w:rPr>
        <w:t xml:space="preserve"> To avoid inhibiting algae growth, excess oxygen is exhausted from the PBRC .</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Operation of PBRC The PBRC operates by harnessing sunlight or artificial illumination to facilitate the growth of microalgae. The process involves the following steps:</w:t>
      </w:r>
    </w:p>
    <w:p w:rsidR="008C0579" w:rsidRPr="00842337" w:rsidRDefault="008C0579" w:rsidP="008C0579">
      <w:pPr>
        <w:pStyle w:val="Paragrafoelenco"/>
        <w:numPr>
          <w:ilvl w:val="0"/>
          <w:numId w:val="4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Culture Circulation:</w:t>
      </w:r>
      <w:r w:rsidRPr="00842337">
        <w:rPr>
          <w:rFonts w:ascii="Times New Roman" w:hAnsi="Times New Roman" w:cs="Times New Roman"/>
          <w:sz w:val="24"/>
          <w:szCs w:val="24"/>
        </w:rPr>
        <w:t xml:space="preserve"> The microalgae culture is continuously circulated within the PBRC using pumps . This ensures that all cells receive equal exposure to light and nutrients, promoting uniform growth.</w:t>
      </w:r>
    </w:p>
    <w:p w:rsidR="008C0579" w:rsidRPr="00842337" w:rsidRDefault="008C0579" w:rsidP="008C0579">
      <w:pPr>
        <w:pStyle w:val="Paragrafoelenco"/>
        <w:numPr>
          <w:ilvl w:val="0"/>
          <w:numId w:val="4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Illumination:</w:t>
      </w:r>
      <w:r w:rsidRPr="00842337">
        <w:rPr>
          <w:rFonts w:ascii="Times New Roman" w:hAnsi="Times New Roman" w:cs="Times New Roman"/>
          <w:sz w:val="24"/>
          <w:szCs w:val="24"/>
        </w:rPr>
        <w:t xml:space="preserve"> The solar receivers allow sunlight to penetrate the PBRC, providing the necessary energy for photosynthesis . Artificial illumination can also be used if sunlight is insufficient.</w:t>
      </w:r>
    </w:p>
    <w:p w:rsidR="008C0579" w:rsidRPr="00842337" w:rsidRDefault="008C0579" w:rsidP="008C0579">
      <w:pPr>
        <w:pStyle w:val="Paragrafoelenco"/>
        <w:numPr>
          <w:ilvl w:val="0"/>
          <w:numId w:val="4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CO2 Aeration</w:t>
      </w:r>
      <w:r w:rsidRPr="00842337">
        <w:rPr>
          <w:rFonts w:ascii="Times New Roman" w:hAnsi="Times New Roman" w:cs="Times New Roman"/>
          <w:sz w:val="24"/>
          <w:szCs w:val="24"/>
        </w:rPr>
        <w:t>: Carbon dioxide is introduced into the PBRC to facilitate photosynthesis and promote microalgae growth .</w:t>
      </w:r>
    </w:p>
    <w:p w:rsidR="008C0579" w:rsidRPr="00842337" w:rsidRDefault="008C0579" w:rsidP="008C0579">
      <w:pPr>
        <w:pStyle w:val="Paragrafoelenco"/>
        <w:numPr>
          <w:ilvl w:val="0"/>
          <w:numId w:val="4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Temperature Control</w:t>
      </w:r>
      <w:r w:rsidRPr="00842337">
        <w:rPr>
          <w:rFonts w:ascii="Times New Roman" w:hAnsi="Times New Roman" w:cs="Times New Roman"/>
          <w:sz w:val="24"/>
          <w:szCs w:val="24"/>
        </w:rPr>
        <w:t>: Maintaining optimal temperatures is crucial for the success of the PBRC. Various methods, such as water-bath immersion, water spraying, or floating the photobioreactor tubes in a water-filled tank, are employed to prevent overheating .</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Advantages and Challenges The PBRC offers several advantages and faces specific challenges:</w:t>
      </w:r>
    </w:p>
    <w:p w:rsidR="008C0579" w:rsidRPr="00842337" w:rsidRDefault="008C0579" w:rsidP="008C0579">
      <w:pPr>
        <w:pStyle w:val="Paragrafoelenc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Advantages:</w:t>
      </w:r>
    </w:p>
    <w:p w:rsidR="008C0579" w:rsidRPr="00842337" w:rsidRDefault="008C0579" w:rsidP="008C0579">
      <w:pPr>
        <w:pStyle w:val="Paragrafoelenco"/>
        <w:numPr>
          <w:ilvl w:val="0"/>
          <w:numId w:val="4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Minimal Contamination Risks:</w:t>
      </w:r>
      <w:r w:rsidRPr="00842337">
        <w:rPr>
          <w:rFonts w:ascii="Times New Roman" w:hAnsi="Times New Roman" w:cs="Times New Roman"/>
          <w:sz w:val="24"/>
          <w:szCs w:val="24"/>
        </w:rPr>
        <w:t xml:space="preserve"> The closed nature of the PBRC minimizes the risk of contamination from external sources .</w:t>
      </w:r>
    </w:p>
    <w:p w:rsidR="008C0579" w:rsidRPr="00842337" w:rsidRDefault="008C0579" w:rsidP="008C0579">
      <w:pPr>
        <w:pStyle w:val="Paragrafoelenco"/>
        <w:numPr>
          <w:ilvl w:val="0"/>
          <w:numId w:val="4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Efficient Regulation of Physiological Conditions:</w:t>
      </w:r>
      <w:r w:rsidRPr="00842337">
        <w:rPr>
          <w:rFonts w:ascii="Times New Roman" w:hAnsi="Times New Roman" w:cs="Times New Roman"/>
          <w:sz w:val="24"/>
          <w:szCs w:val="24"/>
        </w:rPr>
        <w:t xml:space="preserve"> The PBRC allows for precise control of environmental factors such as temperature, light intensity, and nutrient availability, optimizing microalgae growth .</w:t>
      </w:r>
    </w:p>
    <w:p w:rsidR="008C0579" w:rsidRPr="00842337" w:rsidRDefault="008C0579" w:rsidP="008C0579">
      <w:pPr>
        <w:pStyle w:val="Paragrafoelenco"/>
        <w:numPr>
          <w:ilvl w:val="0"/>
          <w:numId w:val="4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Potential for CO2 Conversion and Biofuel Synthesis:</w:t>
      </w:r>
      <w:r w:rsidRPr="00842337">
        <w:rPr>
          <w:rFonts w:ascii="Times New Roman" w:hAnsi="Times New Roman" w:cs="Times New Roman"/>
          <w:sz w:val="24"/>
          <w:szCs w:val="24"/>
        </w:rPr>
        <w:t xml:space="preserve"> PBRCs are potential tools for CO2 conversion and biofuel </w:t>
      </w:r>
      <w:r w:rsidRPr="00842337">
        <w:rPr>
          <w:rFonts w:ascii="Times New Roman" w:hAnsi="Times New Roman" w:cs="Times New Roman"/>
          <w:sz w:val="24"/>
          <w:szCs w:val="24"/>
        </w:rPr>
        <w:lastRenderedPageBreak/>
        <w:t>synthesis due to their ability to cultivate microalgae efficiently .</w:t>
      </w:r>
    </w:p>
    <w:p w:rsidR="008C0579" w:rsidRPr="00842337" w:rsidRDefault="008C0579" w:rsidP="008C0579">
      <w:pPr>
        <w:pStyle w:val="Paragrafoelenc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Challenges:</w:t>
      </w:r>
    </w:p>
    <w:p w:rsidR="008C0579" w:rsidRPr="00842337" w:rsidRDefault="008C0579" w:rsidP="008C0579">
      <w:pPr>
        <w:pStyle w:val="Paragrafoelenco"/>
        <w:numPr>
          <w:ilvl w:val="0"/>
          <w:numId w:val="5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High Maintenance and Cleaning</w:t>
      </w:r>
      <w:r w:rsidRPr="00842337">
        <w:rPr>
          <w:rFonts w:ascii="Times New Roman" w:hAnsi="Times New Roman" w:cs="Times New Roman"/>
          <w:sz w:val="24"/>
          <w:szCs w:val="24"/>
        </w:rPr>
        <w:t>: PBRCs require regular maintenance and cleaning to prevent fouling and ensure optimal performance .</w:t>
      </w:r>
    </w:p>
    <w:p w:rsidR="008C0579" w:rsidRPr="00842337" w:rsidRDefault="008C0579" w:rsidP="008C0579">
      <w:pPr>
        <w:pStyle w:val="Paragrafoelenco"/>
        <w:numPr>
          <w:ilvl w:val="0"/>
          <w:numId w:val="5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Light Penetration:</w:t>
      </w:r>
      <w:r w:rsidRPr="00842337">
        <w:rPr>
          <w:rFonts w:ascii="Times New Roman" w:hAnsi="Times New Roman" w:cs="Times New Roman"/>
          <w:sz w:val="24"/>
          <w:szCs w:val="24"/>
        </w:rPr>
        <w:t xml:space="preserve"> Ensuring uniform light penetration throughout the PBRC can be challenging, especially in larger systems .</w:t>
      </w:r>
    </w:p>
    <w:p w:rsidR="008C0579" w:rsidRPr="00842337" w:rsidRDefault="008C0579" w:rsidP="008C0579">
      <w:pPr>
        <w:pStyle w:val="Paragrafoelenco"/>
        <w:numPr>
          <w:ilvl w:val="0"/>
          <w:numId w:val="5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Operational Challenges:</w:t>
      </w:r>
      <w:r w:rsidRPr="00842337">
        <w:rPr>
          <w:rFonts w:ascii="Times New Roman" w:hAnsi="Times New Roman" w:cs="Times New Roman"/>
          <w:sz w:val="24"/>
          <w:szCs w:val="24"/>
        </w:rPr>
        <w:t xml:space="preserve"> PBRCs require careful management and monitoring to maintain optimal conditions and prevent culture failure .</w:t>
      </w:r>
    </w:p>
    <w:p w:rsidR="008C0579" w:rsidRPr="00842337" w:rsidRDefault="008C0579" w:rsidP="008C0579">
      <w:pPr>
        <w:pStyle w:val="Paragrafoelenco"/>
        <w:numPr>
          <w:ilvl w:val="0"/>
          <w:numId w:val="5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Energy Consumption:</w:t>
      </w:r>
      <w:r w:rsidRPr="00842337">
        <w:rPr>
          <w:rFonts w:ascii="Times New Roman" w:hAnsi="Times New Roman" w:cs="Times New Roman"/>
          <w:sz w:val="24"/>
          <w:szCs w:val="24"/>
        </w:rPr>
        <w:t xml:space="preserve"> Closed photobioreactors, including the PBRC, consume substantial amounts of energy, which may limit their sustainability for large-scale biofuel production from microalgae [2].</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b/>
          <w:bCs/>
          <w:sz w:val="24"/>
          <w:szCs w:val="24"/>
        </w:rPr>
        <w:t>Summary</w:t>
      </w:r>
      <w:r w:rsidRPr="00842337">
        <w:rPr>
          <w:rFonts w:ascii="Times New Roman" w:hAnsi="Times New Roman" w:cs="Times New Roman"/>
          <w:sz w:val="24"/>
          <w:szCs w:val="24"/>
        </w:rPr>
        <w:t xml:space="preserve">The PBRC offers a promising solution for the cultivation of microalgae and the production of biofuels. Its real structure, comprising solar receivers, a cultivation chamber, pumps, CO2 introduction, and an exhaust system, enables efficient and controlled growth of microalgae. While the PBRC offers advantages such as </w:t>
      </w:r>
      <w:r w:rsidRPr="00842337">
        <w:rPr>
          <w:rFonts w:ascii="Times New Roman" w:hAnsi="Times New Roman" w:cs="Times New Roman"/>
          <w:sz w:val="24"/>
          <w:szCs w:val="24"/>
        </w:rPr>
        <w:lastRenderedPageBreak/>
        <w:t>minimal contamination risks and efficient regulation of physiological conditions, it also faces challenges related to maintenance, light penetration, and energy consumption. Further research and advancements in material selection and engineering will help mitigate these challenges, making the PBRC an even more viable option for sustainable biofuel production.</w:t>
      </w:r>
    </w:p>
    <w:p w:rsidR="004A54FD" w:rsidRDefault="004A54FD">
      <w:pPr>
        <w:rPr>
          <w:rFonts w:ascii="Times New Roman" w:eastAsiaTheme="majorEastAsia" w:hAnsi="Times New Roman" w:cs="Times New Roman"/>
          <w:b/>
          <w:bCs/>
          <w:color w:val="365F91" w:themeColor="accent1" w:themeShade="BF"/>
          <w:sz w:val="28"/>
          <w:szCs w:val="28"/>
          <w:lang w:val="en-US"/>
        </w:rPr>
      </w:pPr>
      <w:bookmarkStart w:id="64" w:name="_Toc148255241"/>
      <w:bookmarkStart w:id="65" w:name="_Toc148257132"/>
      <w:r>
        <w:rPr>
          <w:rFonts w:ascii="Times New Roman" w:hAnsi="Times New Roman" w:cs="Times New Roman"/>
          <w:lang w:val="en-US"/>
        </w:rPr>
        <w:br w:type="page"/>
      </w:r>
    </w:p>
    <w:p w:rsidR="008C0579" w:rsidRPr="00E06770" w:rsidRDefault="008C0579" w:rsidP="004A54FD">
      <w:pPr>
        <w:pStyle w:val="Titolo1"/>
        <w:rPr>
          <w:lang w:val="en-US"/>
        </w:rPr>
      </w:pPr>
      <w:bookmarkStart w:id="66" w:name="_Toc149491243"/>
      <w:r w:rsidRPr="00E06770">
        <w:rPr>
          <w:lang w:val="en-US"/>
        </w:rPr>
        <w:lastRenderedPageBreak/>
        <w:t>Sustainability and Environmental Impact</w:t>
      </w:r>
      <w:bookmarkEnd w:id="64"/>
      <w:bookmarkEnd w:id="65"/>
      <w:bookmarkEnd w:id="66"/>
    </w:p>
    <w:p w:rsidR="008C0579" w:rsidRPr="00842337" w:rsidRDefault="008C0579" w:rsidP="008C0579">
      <w:pPr>
        <w:rPr>
          <w:rFonts w:ascii="Times New Roman" w:hAnsi="Times New Roman" w:cs="Times New Roman"/>
          <w:lang w:val="en-US"/>
        </w:rPr>
      </w:pP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b/>
          <w:bCs/>
          <w:sz w:val="24"/>
          <w:szCs w:val="24"/>
        </w:rPr>
        <w:t>Introduction</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In a world where environmental concerns are growing by the day, the importance of sustainable and environmentally friendly energy sources cannot be overstated. This chapter delves into the sustainability and environmental impact of Photo Bio Reactor Continuous (PBRC) technology, with a focus on the benefits it brings to the table. PBRC, as a renewable energy technology, has the potential to make significant strides toward achieving Sustainable Development Goal 7.1 (SDG 7.1) by providing access to affordable, reliable, and clean energy. However, the true value of PBRC is not just in its contribution to SDG 7.1 but also in its capacity to reduce environmental harm and promote sustainability.</w:t>
      </w:r>
    </w:p>
    <w:p w:rsidR="008C0579" w:rsidRPr="00842337" w:rsidRDefault="008C0579" w:rsidP="008C0579">
      <w:pPr>
        <w:pStyle w:val="Paragrafoelenco"/>
        <w:ind w:left="0"/>
        <w:jc w:val="both"/>
        <w:rPr>
          <w:rFonts w:ascii="Times New Roman" w:hAnsi="Times New Roman" w:cs="Times New Roman"/>
          <w:sz w:val="24"/>
          <w:szCs w:val="24"/>
        </w:rPr>
      </w:pP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b/>
          <w:bCs/>
          <w:sz w:val="24"/>
          <w:szCs w:val="24"/>
        </w:rPr>
        <w:t>Environmental Benefits of PBRC</w:t>
      </w:r>
    </w:p>
    <w:p w:rsidR="008C0579" w:rsidRPr="00842337" w:rsidRDefault="008C0579" w:rsidP="008C0579">
      <w:pPr>
        <w:pStyle w:val="Paragrafoelenco"/>
        <w:numPr>
          <w:ilvl w:val="0"/>
          <w:numId w:val="42"/>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Reduced Carbon Footprint</w:t>
      </w:r>
      <w:r w:rsidRPr="00842337">
        <w:rPr>
          <w:rFonts w:ascii="Times New Roman" w:hAnsi="Times New Roman" w:cs="Times New Roman"/>
          <w:sz w:val="24"/>
          <w:szCs w:val="24"/>
        </w:rPr>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One of the most critical environmental challenges today is the reduction of carbon emissions. Traditional fossil fuels are a major source of greenhouse gases, contributing to climate change. PBRC technology can play a pivotal role in mitigating these emissions. The cultivation of microalgae in PBRC systems captures carbon dioxide during the photosynthesis process. Microalgae are highly </w:t>
      </w:r>
      <w:r w:rsidRPr="00842337">
        <w:rPr>
          <w:rFonts w:ascii="Times New Roman" w:hAnsi="Times New Roman" w:cs="Times New Roman"/>
          <w:sz w:val="24"/>
          <w:szCs w:val="24"/>
        </w:rPr>
        <w:lastRenderedPageBreak/>
        <w:t>efficient in converting carbon dioxide into biomass and oxygen, resulting in a significant reduction in carbon emissions. This is not only environmentally friendly but also contributes to carbon sequestration, which can aid in combating climate change.</w:t>
      </w:r>
    </w:p>
    <w:p w:rsidR="008C0579" w:rsidRPr="00842337" w:rsidRDefault="008C0579" w:rsidP="008C0579">
      <w:pPr>
        <w:pStyle w:val="Paragrafoelenco"/>
        <w:ind w:left="0"/>
        <w:jc w:val="both"/>
        <w:rPr>
          <w:rFonts w:ascii="Times New Roman" w:hAnsi="Times New Roman" w:cs="Times New Roman"/>
          <w:sz w:val="24"/>
          <w:szCs w:val="24"/>
        </w:rPr>
      </w:pPr>
    </w:p>
    <w:p w:rsidR="008C0579" w:rsidRPr="00842337" w:rsidRDefault="008C0579" w:rsidP="008C0579">
      <w:pPr>
        <w:pStyle w:val="Paragrafoelenco"/>
        <w:numPr>
          <w:ilvl w:val="0"/>
          <w:numId w:val="42"/>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Water and Resource Efficiency</w:t>
      </w:r>
      <w:r w:rsidRPr="00842337">
        <w:rPr>
          <w:rFonts w:ascii="Times New Roman" w:hAnsi="Times New Roman" w:cs="Times New Roman"/>
          <w:sz w:val="24"/>
          <w:szCs w:val="24"/>
        </w:rPr>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Traditional energy production methods often require substantial amounts of water and other resources. PBRC technology, on the other hand, is remarkably water-efficient. The closed-loop systems used in PBRC minimize water usage by recycling and reusing water, reducing the strain on local water resources. Additionally, the use of non-arable land for microalgae cultivation prevents competition with agriculture, ensuring that precious land resources are not diverted away from food production.</w:t>
      </w:r>
    </w:p>
    <w:p w:rsidR="008C0579" w:rsidRPr="00842337" w:rsidRDefault="008C0579" w:rsidP="008C0579">
      <w:pPr>
        <w:pStyle w:val="Paragrafoelenco"/>
        <w:numPr>
          <w:ilvl w:val="0"/>
          <w:numId w:val="42"/>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Biodiversity and Land Use</w:t>
      </w:r>
      <w:r w:rsidRPr="00842337">
        <w:rPr>
          <w:rFonts w:ascii="Times New Roman" w:hAnsi="Times New Roman" w:cs="Times New Roman"/>
          <w:sz w:val="24"/>
          <w:szCs w:val="24"/>
        </w:rPr>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Large-scale energy projects, particularly those involving fossil fuels, can lead to habitat destruction and a loss of biodiversity. The land requirements for photobioreactors are minimal, and they can even be placed in areas unsuitable for agriculture. This minimizes the impact on ecosystems and biodiversity. Furthermore, microalgae cultivation in PBRC systems can be a complementary solution for wastewater treatment, preventing </w:t>
      </w:r>
    </w:p>
    <w:p w:rsidR="008C0579" w:rsidRPr="00842337" w:rsidRDefault="008C0579" w:rsidP="008C0579">
      <w:pPr>
        <w:pStyle w:val="Paragrafoelenco"/>
        <w:ind w:left="0"/>
        <w:jc w:val="both"/>
        <w:rPr>
          <w:rFonts w:ascii="Times New Roman" w:hAnsi="Times New Roman" w:cs="Times New Roman"/>
          <w:sz w:val="24"/>
          <w:szCs w:val="24"/>
        </w:rPr>
      </w:pP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b/>
          <w:bCs/>
          <w:sz w:val="24"/>
          <w:szCs w:val="24"/>
        </w:rPr>
        <w:t>Economic and Social Impacts</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The environmental benefits of PBRC technology extend to economic and social aspects as well:</w:t>
      </w:r>
    </w:p>
    <w:p w:rsidR="008C0579" w:rsidRPr="00842337" w:rsidRDefault="008C0579" w:rsidP="008C0579">
      <w:pPr>
        <w:pStyle w:val="Paragrafoelenco"/>
        <w:numPr>
          <w:ilvl w:val="0"/>
          <w:numId w:val="43"/>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Economic Viability</w:t>
      </w:r>
      <w:r w:rsidRPr="00842337">
        <w:rPr>
          <w:rFonts w:ascii="Times New Roman" w:hAnsi="Times New Roman" w:cs="Times New Roman"/>
          <w:sz w:val="24"/>
          <w:szCs w:val="24"/>
        </w:rPr>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PBRC technology, with its capacity to reduce carbon emissions, can open doors to carbon credit trading and funding. This not only generates revenue but also encourages further research and development in the field. Additionally, the sustainable nature of PBRC technology ensures a stable and long-term energy supply, reducing the volatility associated with non-renewable energy sources.</w:t>
      </w:r>
    </w:p>
    <w:p w:rsidR="008C0579" w:rsidRPr="00842337" w:rsidRDefault="008C0579" w:rsidP="008C0579">
      <w:pPr>
        <w:pStyle w:val="Paragrafoelenco"/>
        <w:numPr>
          <w:ilvl w:val="0"/>
          <w:numId w:val="43"/>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Job Creation and Economic Development</w:t>
      </w:r>
      <w:r w:rsidRPr="00842337">
        <w:rPr>
          <w:rFonts w:ascii="Times New Roman" w:hAnsi="Times New Roman" w:cs="Times New Roman"/>
          <w:sz w:val="24"/>
          <w:szCs w:val="24"/>
        </w:rPr>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The deployment of PBRC systems creates employment opportunities in various sectors, including research, design, manufacturing, and maintenance of photobioreactors. Local communities near PBRC facilities benefit from job creation, while regional economies see an increase in economic activity. Furthermore, the expansion of PBRC technology can foster entrepreneurship, as microalgae-based products find new markets and applications.</w:t>
      </w:r>
    </w:p>
    <w:p w:rsidR="008C0579" w:rsidRPr="00842337" w:rsidRDefault="008C0579" w:rsidP="008C0579">
      <w:pPr>
        <w:pStyle w:val="Paragrafoelenco"/>
        <w:numPr>
          <w:ilvl w:val="0"/>
          <w:numId w:val="43"/>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Social Impacts on Communities</w:t>
      </w:r>
      <w:r w:rsidRPr="00842337">
        <w:rPr>
          <w:rFonts w:ascii="Times New Roman" w:hAnsi="Times New Roman" w:cs="Times New Roman"/>
          <w:sz w:val="24"/>
          <w:szCs w:val="24"/>
        </w:rPr>
        <w:t>:</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As PBRC technology becomes more widespread, it has the potential to enhance the quality of life in communities. The reduction in pollution and greenhouse gas emissions can lead to cleaner air and water, improving public health. </w:t>
      </w:r>
      <w:r w:rsidRPr="00842337">
        <w:rPr>
          <w:rFonts w:ascii="Times New Roman" w:hAnsi="Times New Roman" w:cs="Times New Roman"/>
          <w:sz w:val="24"/>
          <w:szCs w:val="24"/>
        </w:rPr>
        <w:lastRenderedPageBreak/>
        <w:t>Moreover, the use of PBRC for wastewater treatment can help in maintaining local water quality, benefiting not only the community but also aquatic ecosystems.</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b/>
          <w:bCs/>
          <w:sz w:val="24"/>
          <w:szCs w:val="24"/>
        </w:rPr>
        <w:t>Summary</w:t>
      </w:r>
    </w:p>
    <w:p w:rsidR="008C0579" w:rsidRPr="00842337" w:rsidRDefault="008C0579" w:rsidP="008C0579">
      <w:pPr>
        <w:pStyle w:val="Paragrafoelenco"/>
        <w:ind w:left="0"/>
        <w:jc w:val="both"/>
        <w:rPr>
          <w:rFonts w:ascii="Times New Roman" w:hAnsi="Times New Roman" w:cs="Times New Roman"/>
          <w:sz w:val="24"/>
          <w:szCs w:val="24"/>
        </w:rPr>
      </w:pPr>
      <w:r w:rsidRPr="00842337">
        <w:rPr>
          <w:rFonts w:ascii="Times New Roman" w:hAnsi="Times New Roman" w:cs="Times New Roman"/>
          <w:sz w:val="24"/>
          <w:szCs w:val="24"/>
        </w:rPr>
        <w:t>The sustainable and environmentally friendly nature of PBRC technology positions it as a powerful tool for achieving Sustainable Development Goal 7.1 and addressing some of the world's most pressing environmental challenges. By reducing carbon emissions, promoting water and resource efficiency, and minimizing impacts on biodiversity and land use, PBRC technology exemplifies the principles of sustainable development. Moreover, it extends its benefits to economic and social realms, creating a win-win situation for all stakeholders. As we look toward a future where sustainable energy solutions are imperative, PBRC stands as a beacon of hope, demonstrating that clean energy and environmental preservation can go hand in hand. This chapter has explored the multitude of ways in which PBRC technology contributes to sustainability and environmental impact, emphasizing its critical role in building a more sustainable and equitable world.</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Paragrafoelenco"/>
        <w:ind w:left="0"/>
        <w:jc w:val="both"/>
        <w:rPr>
          <w:rFonts w:ascii="Times New Roman" w:hAnsi="Times New Roman" w:cs="Times New Roman"/>
          <w:vanish/>
          <w:sz w:val="24"/>
          <w:szCs w:val="24"/>
        </w:rPr>
      </w:pPr>
      <w:r w:rsidRPr="00842337">
        <w:rPr>
          <w:rFonts w:ascii="Times New Roman" w:hAnsi="Times New Roman" w:cs="Times New Roman"/>
          <w:vanish/>
          <w:sz w:val="24"/>
          <w:szCs w:val="24"/>
        </w:rPr>
        <w:lastRenderedPageBreak/>
        <w:t>Top of Form</w:t>
      </w:r>
    </w:p>
    <w:p w:rsidR="008C0579" w:rsidRPr="00842337" w:rsidRDefault="008C0579" w:rsidP="008C0579">
      <w:pPr>
        <w:pStyle w:val="Titolo1"/>
        <w:rPr>
          <w:rFonts w:ascii="Times New Roman" w:hAnsi="Times New Roman" w:cs="Times New Roman"/>
          <w:lang w:val="en-US"/>
        </w:rPr>
      </w:pPr>
      <w:bookmarkStart w:id="67" w:name="_Toc148255242"/>
      <w:bookmarkStart w:id="68" w:name="_Toc148257133"/>
      <w:bookmarkStart w:id="69" w:name="_Toc149491244"/>
      <w:r w:rsidRPr="00842337">
        <w:rPr>
          <w:rFonts w:ascii="Times New Roman" w:hAnsi="Times New Roman" w:cs="Times New Roman"/>
          <w:lang w:val="en-US"/>
        </w:rPr>
        <w:t>Economic and Social Implications</w:t>
      </w:r>
      <w:bookmarkEnd w:id="67"/>
      <w:bookmarkEnd w:id="68"/>
      <w:bookmarkEnd w:id="69"/>
    </w:p>
    <w:p w:rsidR="008C0579" w:rsidRPr="00842337" w:rsidRDefault="008C0579" w:rsidP="008C0579">
      <w:pPr>
        <w:rPr>
          <w:rFonts w:ascii="Times New Roman" w:hAnsi="Times New Roman" w:cs="Times New Roman"/>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Introduction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Photo Bio Reactor Continuous (PBRC) technology is not only a sustainable energy solution but also a catalyst for economic and social development. This chapter explores the multifaceted economic and social implications of PBRC, shedding light on its potential to create jobs, stimulate economic growth, and empower communities.</w:t>
      </w:r>
    </w:p>
    <w:p w:rsidR="008C0579" w:rsidRPr="00842337" w:rsidRDefault="008C0579" w:rsidP="008C0579">
      <w:pPr>
        <w:jc w:val="both"/>
        <w:rPr>
          <w:rFonts w:ascii="Times New Roman" w:hAnsi="Times New Roman" w:cs="Times New Roman"/>
          <w:sz w:val="24"/>
          <w:szCs w:val="24"/>
        </w:rPr>
      </w:pPr>
      <w:r w:rsidRPr="00842337">
        <w:rPr>
          <w:rFonts w:ascii="Times New Roman" w:hAnsi="Times New Roman" w:cs="Times New Roman"/>
          <w:b/>
          <w:bCs/>
          <w:sz w:val="24"/>
          <w:szCs w:val="24"/>
        </w:rPr>
        <w:t>Economic Viability of PBRC</w:t>
      </w:r>
    </w:p>
    <w:p w:rsidR="008C0579" w:rsidRPr="00842337" w:rsidRDefault="008C0579" w:rsidP="008C0579">
      <w:pPr>
        <w:numPr>
          <w:ilvl w:val="0"/>
          <w:numId w:val="44"/>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Job Creation and Skills Development</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One of the most direct economic benefits of PBRC technology is job creation. The establishment, operation, and maintenance of PBRC systems require a skilled workforce. From engineers and biotechnologists to technicians and support staff, PBRC projects generate employment opportunities across various sectors. Local communities near PBRC facilities witness a surge in employment, contributing to reduced unemployment rates and improved livelihoods.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Moreover, PBRC technology encourages skills development. To meet the specific requirements of PBRC operations, workforce training and education programs are </w:t>
      </w:r>
      <w:r w:rsidRPr="00842337">
        <w:rPr>
          <w:rFonts w:ascii="Times New Roman" w:hAnsi="Times New Roman" w:cs="Times New Roman"/>
          <w:sz w:val="24"/>
          <w:szCs w:val="24"/>
          <w:lang w:val="en-US"/>
        </w:rPr>
        <w:lastRenderedPageBreak/>
        <w:t>often initiated. This not only ensures that the local workforce can operate and maintain the systems efficiently but also enhances the employability of the region's residents in emerging, sustainable technology sectors.</w:t>
      </w:r>
    </w:p>
    <w:p w:rsidR="008C0579" w:rsidRPr="00842337" w:rsidRDefault="008C0579" w:rsidP="008C0579">
      <w:pPr>
        <w:numPr>
          <w:ilvl w:val="0"/>
          <w:numId w:val="44"/>
        </w:numPr>
        <w:spacing w:after="120"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Economic Growth and Investment</w:t>
      </w:r>
      <w:r w:rsidRPr="00842337">
        <w:rPr>
          <w:rFonts w:ascii="Times New Roman" w:hAnsi="Times New Roman" w:cs="Times New Roman"/>
          <w:sz w:val="24"/>
          <w:szCs w:val="24"/>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deployment of PBRC systems stimulates economic growth at various levels. Firstly, the establishment of PBRC facilities requires substantial investments in infrastructure, technology, and research and development. These investments not only support the local economy but also foster innovation and entrepreneurship. For instance, businesses involved in PBRC equipment manufacturing and supply chains benefit from increased demand, leading to economic expansion.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Additionally, PBRC technology has the potential to open doors to carbon credit trading and green financing. As governments and organizations prioritize carbon reduction, PBRC's capacity to capture carbon dioxide during microalgae cultivation makes it an attractive option for carbon credit trading. This not only generates revenue for PBRC projects but also encourages further investment in sustainable energy solutions.</w:t>
      </w:r>
    </w:p>
    <w:p w:rsidR="008C0579" w:rsidRPr="00842337" w:rsidRDefault="008C0579" w:rsidP="008C0579">
      <w:pPr>
        <w:jc w:val="both"/>
        <w:rPr>
          <w:rFonts w:ascii="Times New Roman" w:hAnsi="Times New Roman" w:cs="Times New Roman"/>
          <w:sz w:val="24"/>
          <w:szCs w:val="24"/>
        </w:rPr>
      </w:pPr>
      <w:r w:rsidRPr="00842337">
        <w:rPr>
          <w:rFonts w:ascii="Times New Roman" w:hAnsi="Times New Roman" w:cs="Times New Roman"/>
          <w:b/>
          <w:bCs/>
          <w:sz w:val="24"/>
          <w:szCs w:val="24"/>
        </w:rPr>
        <w:t>Social Impacts on Communities</w:t>
      </w:r>
    </w:p>
    <w:p w:rsidR="008C0579" w:rsidRPr="00842337" w:rsidRDefault="008C0579" w:rsidP="008C0579">
      <w:pPr>
        <w:numPr>
          <w:ilvl w:val="0"/>
          <w:numId w:val="45"/>
        </w:numPr>
        <w:spacing w:after="120"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Improved Public Health</w:t>
      </w:r>
      <w:r w:rsidRPr="00842337">
        <w:rPr>
          <w:rFonts w:ascii="Times New Roman" w:hAnsi="Times New Roman" w:cs="Times New Roman"/>
          <w:sz w:val="24"/>
          <w:szCs w:val="24"/>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environmental benefits of PBRC technology extend to public health. By reducing pollution and greenhouse gas emissions, PBRC systems help in creating cleaner air and water. This results in improved public health, with fewer respiratory illnesses and waterborne diseases. Communities near PBRC facilities experience better living conditions and enhanced well-being.</w:t>
      </w:r>
    </w:p>
    <w:p w:rsidR="008C0579" w:rsidRPr="00842337" w:rsidRDefault="008C0579" w:rsidP="008C0579">
      <w:pPr>
        <w:numPr>
          <w:ilvl w:val="0"/>
          <w:numId w:val="45"/>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Community Empowerment and Social Inclusion</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deployment of PBRC technology can empower local communities. By creating jobs and encouraging skills development, PBRC projects often include community engagement programs. These programs provide opportunities for local residents to actively participate in and benefit from the PBRC initiatives. This fosters a sense of ownership and social inclusion, strengthening community bonds and promoting social equity.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Furthermore, PBRC technology is versatile and can be adapted to the unique needs of different communities. Whether deployed for clean energy generation, water purification, or value-added product development, PBRC projects can be tailored to address specific community challenges, creating a sense of social empowerment and autonomy.</w:t>
      </w:r>
    </w:p>
    <w:p w:rsidR="008C0579" w:rsidRPr="00842337" w:rsidRDefault="008C0579" w:rsidP="008C0579">
      <w:pPr>
        <w:numPr>
          <w:ilvl w:val="0"/>
          <w:numId w:val="45"/>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Rural Development and Energy Access</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Many PBRC projects are implemented in rural or remote areas where access to modern energy services may be limited. By bringing clean and reliable energy to these regions, PBRC technology enhances rural development. It supports agricultural and industrial processes, and in some cases, surplus energy can be supplied to the grid, generating revenue for the community.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Moreover, the energy access provided by PBRC projects can drive social progress. Access to electricity improves living standards, facilitates access to education and healthcare, and promotes economic activities, ultimately breaking the cycle of poverty and fostering rural development.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Case Studies on Economic and Social Impact</w:t>
      </w:r>
    </w:p>
    <w:p w:rsidR="008C0579" w:rsidRPr="00842337" w:rsidRDefault="008C0579" w:rsidP="008C0579">
      <w:pPr>
        <w:numPr>
          <w:ilvl w:val="0"/>
          <w:numId w:val="46"/>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Algae Bioenergy Project (ABP)</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ABP, located in the United States, exemplifies the economic and social impacts of PBRC technology. The project has not only created jobs for local communities but has also established training programs to enhance the skills of the workforce. It has contributed to the economic growth of the region by attracting investments and fostering entrepreneurship. Moreover, ABP's initiatives to </w:t>
      </w:r>
      <w:r w:rsidRPr="00842337">
        <w:rPr>
          <w:rFonts w:ascii="Times New Roman" w:hAnsi="Times New Roman" w:cs="Times New Roman"/>
          <w:sz w:val="24"/>
          <w:szCs w:val="24"/>
          <w:lang w:val="en-US"/>
        </w:rPr>
        <w:lastRenderedPageBreak/>
        <w:t>promote public health through reduced pollution and greenhouse gas emissions have improved the quality of life for residents in the surrounding areas.</w:t>
      </w:r>
    </w:p>
    <w:p w:rsidR="008C0579" w:rsidRPr="00842337" w:rsidRDefault="008C0579" w:rsidP="008C0579">
      <w:pPr>
        <w:numPr>
          <w:ilvl w:val="0"/>
          <w:numId w:val="46"/>
        </w:numPr>
        <w:spacing w:after="120" w:line="360" w:lineRule="auto"/>
        <w:ind w:left="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Algae-based CO2 Capture Project (ALCAP)</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ALCAP, situated in Germany, showcases the social inclusion and empowerment potential of PBRC technology. The project actively engages with local communities, involving residents in various aspects of the project. By providing employment opportunities and skills development programs, ALCAP has strengthened social bonds and fostered social equity. Additionally, ALCAP's contribution to rural development through energy access has had a transformative impact on the quality of life for rural residents.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Summary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Photo Bio Reactor Continuous (PBRC) technology's potential to create jobs, stimulate economic growth, and empower communities makes it a valuable asset in the quest for sustainable development. The economic viability of PBRC projects extends from job creation and skills development to investments in green financing and carbon credit trading. On the social front, PBRC initiatives improve public health, promote community empowerment </w:t>
      </w:r>
      <w:r w:rsidRPr="00842337">
        <w:rPr>
          <w:rFonts w:ascii="Times New Roman" w:hAnsi="Times New Roman" w:cs="Times New Roman"/>
          <w:sz w:val="24"/>
          <w:szCs w:val="24"/>
          <w:lang w:val="en-US"/>
        </w:rPr>
        <w:lastRenderedPageBreak/>
        <w:t>and social inclusion, and drive rural development while ensuring access to modern energy services.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As the world increasingly focuses on sustainable energy solutions and their role in achieving Sustainable Development Goal 7.1 (SDG 7.1), PBRC technology emerges as a driving force for positive economic and social change. It exemplifies the notion that sustainability and economic growth can go hand in hand, fostering a brighter future for all. This chapter has explored the multifaceted economic and social implications of PBRC technology, emphasizing its pivotal role in enhancing the well-being of communities and driving local economies.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70" w:name="_Toc148255243"/>
      <w:bookmarkStart w:id="71" w:name="_Toc148257134"/>
      <w:bookmarkStart w:id="72" w:name="_Toc149491245"/>
      <w:r w:rsidRPr="00842337">
        <w:rPr>
          <w:rFonts w:ascii="Times New Roman" w:hAnsi="Times New Roman" w:cs="Times New Roman"/>
          <w:lang w:val="en-US"/>
        </w:rPr>
        <w:lastRenderedPageBreak/>
        <w:t>Patent Protection and SDG 7.1</w:t>
      </w:r>
      <w:bookmarkEnd w:id="70"/>
      <w:bookmarkEnd w:id="71"/>
      <w:bookmarkEnd w:id="72"/>
    </w:p>
    <w:p w:rsidR="008C0579" w:rsidRPr="00842337" w:rsidRDefault="008C0579" w:rsidP="008C0579">
      <w:pPr>
        <w:rPr>
          <w:rFonts w:ascii="Times New Roman" w:hAnsi="Times New Roman" w:cs="Times New Roman"/>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i/>
          <w:iCs/>
          <w:sz w:val="24"/>
          <w:szCs w:val="24"/>
          <w:lang w:val="en-US"/>
        </w:rPr>
        <w:t>In the pursuit of Sustainable Development Goal 7.1, patent protection plays a vital role. This chapter explores the intersection of intellectual property rights, specifically patents, and the broader context of SDG 7.1, focusing on the Photo Bio Reactor Continuous (PBRC) technology. It delves into the challenges, opportunities, and implications of patent protection in advancing the goal of universal access to affordable, reliable, sustainable, and modern energy.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Role of Patents in Advancing Sustainable Development Goals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Intellectual Property and Innovation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Intellectual property, including patents, is a cornerstone of innovation. It incentivizes inventors, researchers, and organizations to invest in the development of new technologies and solutions. Patents offer a period of exclusivity during which the inventor can benefit from their invention, encouraging the pursuit of new and groundbreaking ideas.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Patents and Sustainable Development Goals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The United Nations' Sustainable Development Goals (SDGs) are a global framework for addressing pressing societal and environmental issues. Patent protection aligns with several SDGs by driving innovation, fostering knowledge sharing, and enabling the commercialization of sustainable technologies.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PBRC Patents: Incentives for Innovation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The PBRC Patent Landscape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development of PBRC technology has been accompanied by a growing landscape of patents. These patents cover various aspects of PBRC, from microorganism modifications to photobioreactor designs and carbon capture methods.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Encouraging Investment in R&amp;D</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prospect of obtaining a patent for PBRC innovations serves as a powerful incentive for inventors and organizations to invest in research and development. It provides the assurance that their intellectual property rights will be protected, fostering a conducive environment for innovation.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Intellectual Property as a Competitive Advantage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Patents confer a competitive advantage on organizations that hold them. This competitive edge can attract funding and partnerships, enabling further research and development in PBRC technology.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Challenges in Patenting PBRC Technology for SDG 7.1</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Prior Art and Novelty Challenges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Patenting PBRC innovations can be challenging, as inventors must demonstrate that their technology is novel and inventive. The existence of prior art in related fields can pose obstacles.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Patentability of Biological Inventions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PBRC technology often involves biological components, which can raise ethical and regulatory considerations. Patenting biological inventions is complex and can involve navigating a web of ethical and legal issues.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Intellectual Property Disputes</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Competing claims to similar innovations can lead to intellectual property disputes, which may not only delay the patenting process but also require legal resolutions.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Opportunities and Implications of Patenting PBRC for SDG 7.1</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lastRenderedPageBreak/>
        <w:t>Knowledge Sharing and Collaboration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While patents protect intellectual property, they also encourage knowledge sharing and collaboration. Inventors often license their patents to others, fostering a culture of innovation and cooperation within the PBRC community.</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Investment and Funding</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Patents make PBRC innovations more attractive to investors and funding agencies, as they provide assurance that intellectual property rights are protected. This can lead to increased funding for PBRC research and development.</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Technology Commercialization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ability to protect and license PBRC patents enhances the commercialization potential of this technology. It facilitates the transfer of innovations from the lab to the market, contributing to the widespread adoption of sustainable energy 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Ethical Considerations and Open Innovation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Ethical Patent Practices</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Patent holders in the field of PBRC technology must consider the ethical implications of their innovations. This </w:t>
      </w:r>
      <w:r w:rsidRPr="00842337">
        <w:rPr>
          <w:rFonts w:ascii="Times New Roman" w:hAnsi="Times New Roman" w:cs="Times New Roman"/>
          <w:sz w:val="24"/>
          <w:szCs w:val="24"/>
          <w:lang w:val="en-US"/>
        </w:rPr>
        <w:lastRenderedPageBreak/>
        <w:t>includes ensuring that patents do not hinder the dissemination of life-saving or environmentally beneficial technologies.</w:t>
      </w:r>
    </w:p>
    <w:p w:rsidR="008C0579" w:rsidRPr="00842337" w:rsidRDefault="008C0579" w:rsidP="008C0579">
      <w:pPr>
        <w:jc w:val="both"/>
        <w:rPr>
          <w:rFonts w:ascii="Times New Roman" w:hAnsi="Times New Roman" w:cs="Times New Roman"/>
          <w:b/>
          <w:bCs/>
          <w:i/>
          <w:iCs/>
          <w:sz w:val="24"/>
          <w:szCs w:val="24"/>
          <w:lang w:val="en-US"/>
        </w:rPr>
      </w:pPr>
      <w:r w:rsidRPr="00842337">
        <w:rPr>
          <w:rFonts w:ascii="Times New Roman" w:hAnsi="Times New Roman" w:cs="Times New Roman"/>
          <w:b/>
          <w:bCs/>
          <w:i/>
          <w:iCs/>
          <w:sz w:val="24"/>
          <w:szCs w:val="24"/>
          <w:lang w:val="en-US"/>
        </w:rPr>
        <w:t>Open Innovation and Knowledge Sharing*</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Open innovation practices emphasize the importance of sharing knowledge and collaborating across organizational and geographical boundaries. The PBRC community can benefit from open innovation approaches to accelerate progress towards SDG 7.1.</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Summary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interplay between patent protection and Sustainable Development Goal 7.1, particularly in the context of PBRC technology, underscores the critical role of intellectual property in advancing sustainable energy solutions. Patents serve as powerful incentives for innovation, encouraging investment in research and development.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However, the challenges in patenting PBRC technology, such as prior art, biological inventions, and intellectual property disputes, are not to be underestimated. Resolving these challenges requires a combination of legal, ethical, and technical considerations.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The opportunities and implications of patenting PBRC are vast, with knowledge sharing, investment, and technology commercialization at the forefront. Additionally, ethical patent practices and open innovation can foster collaboration and ensure that the benefits of PBRC technology are shared equitably.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the chapters that follow, we will delve into the global perspective on SDG 7.1 and the role of PBRC technology, exploring case studies and real-world applications that demonstrate the impact of patents in the pursuit of universal access to affordable, reliable, sustainable, and modern energy.</w:t>
      </w:r>
      <w:r w:rsidRPr="00842337">
        <w:rPr>
          <w:rFonts w:ascii="Times New Roman" w:hAnsi="Times New Roman" w:cs="Times New Roman"/>
          <w:sz w:val="24"/>
          <w:szCs w:val="24"/>
          <w:lang w:val="en-US"/>
        </w:rPr>
        <w:br w:type="page"/>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Titolo1"/>
        <w:rPr>
          <w:rFonts w:ascii="Times New Roman" w:hAnsi="Times New Roman" w:cs="Times New Roman"/>
          <w:lang w:val="en-US"/>
        </w:rPr>
      </w:pPr>
      <w:bookmarkStart w:id="73" w:name="_Toc148255244"/>
      <w:bookmarkStart w:id="74" w:name="_Toc148257135"/>
      <w:bookmarkStart w:id="75" w:name="_Toc149491246"/>
      <w:r w:rsidRPr="00842337">
        <w:rPr>
          <w:rFonts w:ascii="Times New Roman" w:hAnsi="Times New Roman" w:cs="Times New Roman"/>
          <w:lang w:val="en-US"/>
        </w:rPr>
        <w:t>Challenges and Barriers</w:t>
      </w:r>
      <w:bookmarkEnd w:id="73"/>
      <w:bookmarkEnd w:id="74"/>
      <w:bookmarkEnd w:id="75"/>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While the vision of universal and sustainable energy access is both inspiring and essential, it is not without its fair share of challenges and barriers. The Sustainable Development Goal (SDG) 7.1 encapsulates an ambitious objective, and the journey towards its realization is marked by various hurdles that must be overcome. In this chapter, we will explore the critical challenges and barriers to achieving SDG 7.1 and how  PBRC (Just, Wide, and Timely – Public Benefit, Royalty-Free, and Collaborative) patents can help address these obstacles.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26"/>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Financial Barriers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One of the most significant challenges in achieving SDG 7.1 is the financial barrier. The development and deployment of clean energy technologies, the expansion of energy infrastructure, and the provision of energy access to underserved and remote areas require substantial investments. Many countries, particularly those in the developing world, face financial constraints that limit their </w:t>
      </w:r>
      <w:r w:rsidRPr="00842337">
        <w:rPr>
          <w:rFonts w:ascii="Times New Roman" w:hAnsi="Times New Roman" w:cs="Times New Roman"/>
          <w:sz w:val="24"/>
          <w:szCs w:val="24"/>
          <w:lang w:val="en-US"/>
        </w:rPr>
        <w:lastRenderedPageBreak/>
        <w:t>capacity to finance such projects. Moreover, the conventional profit-driven models of intellectual property rights can create financial barriers, impeding the swift adoption of clean energy technologies.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2. Challenges in Policy and Regulation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energy sector is subject to extensive regulation, and the policies and regulations governing it can either facilitate or hinder progress towards SDG 7.1. Regulatory frameworks that are unfavorable, inconsistent, or complex can discourage investment and innovation. Harmonizing policies and regulations across regions and countries is a complex task, and the absence of clear and supportive frameworks can pose a significant barrier to progress.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3. Deficiencies in Infrastructure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Expanding energy infrastructure to reach underserved and remote areas is a formidable logistical challenge. Many regions lack the necessary transmission and distribution networks, making the extension of the grid a costly and time-consuming endeavor. Developing the required infrastructure in these areas can be hindered by a lack of investment and resources.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lastRenderedPageBreak/>
        <w:t>4. Technological Advancement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Innovations in clean energy technologies are crucial for achieving SDG 7.1. However, inventors and innovators face challenges related to funding and intellectual property. Traditional patents, with their associated royalties and licensing fees, can limit the accessibility and affordability of innovative solutions. This can impede the development and dissemination of new technologies necessary for clean energy access.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5. Cultural and Behavioral Barriers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transition from conventional practices to clean energy solutions can encounter cultural and behavioral resistance. This resistance may arise due to deeply ingrained cultural practices and habits associated with traditional cooking methods, which can hinder the adoption of clean cooking technologies. Overcoming these barriers necessitates not only technological advancements but also a deep understanding of cultural norms and active involvement of the community.</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6. Environmental Concerns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The utilization of fossil fuels and traditional biomass for energy has detrimental environmental consequences, such </w:t>
      </w:r>
      <w:r w:rsidRPr="00842337">
        <w:rPr>
          <w:rFonts w:ascii="Times New Roman" w:hAnsi="Times New Roman" w:cs="Times New Roman"/>
          <w:sz w:val="24"/>
          <w:szCs w:val="24"/>
          <w:lang w:val="en-US"/>
        </w:rPr>
        <w:lastRenderedPageBreak/>
        <w:t>as deforestation and air pollution. To mitigate environmental degradation and address climate change, it is imperative to shift towards cleaner and more sustainable energy sources. However, the magnitude and complexity of this transition present significant challenges, including the need to address the social and economic impacts on communities reliant on these traditional energy sources.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7. Limited Market Incentive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absence of profit-driven models in certain sectors may diminish the market incentive for innovation. Inventors and entrepreneurs may be discouraged from undertaking projects that prioritize public benefit over individual or corporate profit. This limited market incentive can impede the development and widespread adoption of clean energy solutions.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The Role of  PBRC Patents in Addressing Challenges: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PBRC patents offer a promising approach to addressing the challenges and barriers to achieving SDG 7.1. Their unique attributes align with the objectives of universal and </w:t>
      </w:r>
      <w:r w:rsidRPr="00842337">
        <w:rPr>
          <w:rFonts w:ascii="Times New Roman" w:hAnsi="Times New Roman" w:cs="Times New Roman"/>
          <w:sz w:val="24"/>
          <w:szCs w:val="24"/>
          <w:lang w:val="en-US"/>
        </w:rPr>
        <w:lastRenderedPageBreak/>
        <w:t>sustainable energy access and can help overcome these obstacles:</w:t>
      </w:r>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Financial Barriers:</w:t>
      </w:r>
      <w:r w:rsidRPr="00842337">
        <w:rPr>
          <w:rFonts w:ascii="Times New Roman" w:hAnsi="Times New Roman" w:cs="Times New Roman"/>
          <w:sz w:val="24"/>
          <w:szCs w:val="24"/>
          <w:lang w:val="en-US"/>
        </w:rPr>
        <w:t xml:space="preserve"> PBRC patents eliminate royalty and licensing fees, reducing the financial barrier to accessing clean energy technologies. By providing royalty-free access, these patents can enable resource-constrained regions and communities to leverage innovative solutions.</w:t>
      </w:r>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Policy and Regulatory Hurdles:</w:t>
      </w:r>
      <w:r w:rsidRPr="00842337">
        <w:rPr>
          <w:rFonts w:ascii="Times New Roman" w:hAnsi="Times New Roman" w:cs="Times New Roman"/>
          <w:sz w:val="24"/>
          <w:szCs w:val="24"/>
          <w:lang w:val="en-US"/>
        </w:rPr>
        <w:t xml:space="preserve"> The collaborative nature of  PBRC patents encourages open collaboration and knowledge sharing among inventors and stakeholders. This can foster the development of policy-relevant solutions and align with regulatory frameworks that promote clean energy access.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Infrastructure Deficits:</w:t>
      </w:r>
      <w:r w:rsidRPr="00842337">
        <w:rPr>
          <w:rFonts w:ascii="Times New Roman" w:hAnsi="Times New Roman" w:cs="Times New Roman"/>
          <w:sz w:val="24"/>
          <w:szCs w:val="24"/>
          <w:lang w:val="en-US"/>
        </w:rPr>
        <w:t xml:space="preserve"> By promoting open access and collaboration, PBRC patents can expedite the development and deployment of clean energy technologies. Removing financial barriers to innovation can support the expansion of energy infrastructure in underserved regions.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Technological Innovation:</w:t>
      </w:r>
      <w:r w:rsidRPr="00842337">
        <w:rPr>
          <w:rFonts w:ascii="Times New Roman" w:hAnsi="Times New Roman" w:cs="Times New Roman"/>
          <w:sz w:val="24"/>
          <w:szCs w:val="24"/>
          <w:lang w:val="en-US"/>
        </w:rPr>
        <w:t xml:space="preserve"> PBRC patents eliminate the financial barriers associated with traditional patents, encouraging inventors and innovators to develop and disseminate new technologies. This can help accelerate the pace of technological innovation in clean energy 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Cultural and Behavioral Barriers</w:t>
      </w:r>
      <w:r w:rsidRPr="00842337">
        <w:rPr>
          <w:rFonts w:ascii="Times New Roman" w:hAnsi="Times New Roman" w:cs="Times New Roman"/>
          <w:sz w:val="24"/>
          <w:szCs w:val="24"/>
          <w:lang w:val="en-US"/>
        </w:rPr>
        <w:t>: The patents from  PBRC have the potential to facilitate the development of clean energy solutions that are culturally sensitive and engage with the community. Through the promotion of open collaboration, these patents ensure that innovations are specifically tailored to local contexts and address the cultural and behavioral barriers that may exist.</w:t>
      </w:r>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Environmental Concerns:</w:t>
      </w:r>
      <w:r w:rsidRPr="00842337">
        <w:rPr>
          <w:rFonts w:ascii="Times New Roman" w:hAnsi="Times New Roman" w:cs="Times New Roman"/>
          <w:sz w:val="24"/>
          <w:szCs w:val="24"/>
          <w:lang w:val="en-US"/>
        </w:rPr>
        <w:t xml:space="preserve"> The patents from  PBRC can expedite the development and implementation of energy technologies that are sustainable and environmentally friendly. By encouraging the use of clean energy solutions, these patents are in line with the environmental objectives outlined in SDG 7.1.</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Limited Market Incentive:</w:t>
      </w:r>
      <w:r w:rsidRPr="00842337">
        <w:rPr>
          <w:rFonts w:ascii="Times New Roman" w:hAnsi="Times New Roman" w:cs="Times New Roman"/>
          <w:sz w:val="24"/>
          <w:szCs w:val="24"/>
          <w:lang w:val="en-US"/>
        </w:rPr>
        <w:t xml:space="preserve"> While it is true that  PBRC patents may reduce the market incentive for innovation in certain sectors, they still can attract innovators who </w:t>
      </w:r>
      <w:r w:rsidRPr="00842337">
        <w:rPr>
          <w:rFonts w:ascii="Times New Roman" w:hAnsi="Times New Roman" w:cs="Times New Roman"/>
          <w:sz w:val="24"/>
          <w:szCs w:val="24"/>
          <w:lang w:val="en-US"/>
        </w:rPr>
        <w:lastRenderedPageBreak/>
        <w:t>prioritize public benefit and sustainable development. These patents provide support to inventors and entrepreneurs who are motivated by a commitment to addressing urgent global challenges.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To address these challenges and barriers, PBRC patents offer a dynamic and inclusive approach to innovation and collaboration. By eliminating financial and legal obstacles and fostering a collective mindset, these patents empower inventors and stakeholders to work together in pursuit of clean and sustainable energy access.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 xml:space="preserve">Summary: </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the subsequent chapters, we shall further delve into practical implementations and real-life instances that demonstrate how  PBRC patents can effectively navigate and surmount these obstacles. By emphasizing the revolutionary capabilities of these patents in tackling the intricacies of SDG 7.1, our objective is to motivate and enlighten individuals, communities, and organizations engaged in the pursuit of comprehensive and sustainable energy accessibility for everyone.</w:t>
      </w:r>
    </w:p>
    <w:p w:rsidR="008C0579" w:rsidRPr="00842337" w:rsidRDefault="008C0579" w:rsidP="008C0579">
      <w:pPr>
        <w:pStyle w:val="Nessunaspaziatura"/>
        <w:rPr>
          <w:rFonts w:ascii="Times New Roman" w:hAnsi="Times New Roman" w:cs="Times New Roman"/>
          <w:sz w:val="24"/>
          <w:szCs w:val="24"/>
          <w:lang w:val="en-US"/>
        </w:rPr>
      </w:pPr>
      <w:r w:rsidRPr="00842337">
        <w:rPr>
          <w:rFonts w:ascii="Times New Roman" w:hAnsi="Times New Roman" w:cs="Times New Roman"/>
          <w:sz w:val="24"/>
          <w:szCs w:val="24"/>
          <w:lang w:val="en-US"/>
        </w:rPr>
        <w:t>Chapter 10</w:t>
      </w:r>
    </w:p>
    <w:p w:rsidR="008C0579" w:rsidRPr="00842337" w:rsidRDefault="008C0579" w:rsidP="008C0579">
      <w:pPr>
        <w:pStyle w:val="Nessunaspaziatura"/>
        <w:rPr>
          <w:rFonts w:ascii="Times New Roman" w:hAnsi="Times New Roman" w:cs="Times New Roman"/>
          <w:lang w:val="en-US"/>
        </w:rPr>
      </w:pPr>
    </w:p>
    <w:p w:rsidR="008C0579" w:rsidRPr="00842337" w:rsidRDefault="008C0579" w:rsidP="008C0579">
      <w:pPr>
        <w:pStyle w:val="Titolo1"/>
        <w:rPr>
          <w:rFonts w:ascii="Times New Roman" w:hAnsi="Times New Roman" w:cs="Times New Roman"/>
          <w:szCs w:val="24"/>
          <w:lang w:val="en-US"/>
        </w:rPr>
      </w:pPr>
      <w:bookmarkStart w:id="76" w:name="_Toc148255245"/>
      <w:bookmarkStart w:id="77" w:name="_Toc148257136"/>
      <w:bookmarkStart w:id="78" w:name="_Toc149491247"/>
      <w:r w:rsidRPr="00842337">
        <w:rPr>
          <w:rFonts w:ascii="Times New Roman" w:hAnsi="Times New Roman" w:cs="Times New Roman"/>
          <w:szCs w:val="24"/>
          <w:lang w:val="en-US"/>
        </w:rPr>
        <w:lastRenderedPageBreak/>
        <w:t>Case Studies and Success Stories</w:t>
      </w:r>
      <w:bookmarkEnd w:id="76"/>
      <w:bookmarkEnd w:id="77"/>
      <w:bookmarkEnd w:id="78"/>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our investigation of SDG 7.1 and the role of PBRC(Photo Bio Reactor Continuous) patents, we met several hurdles and roadblocks on the way to universal and sustainable energy access. However, as we go into compelling case studies and success stories that highlight the transformative impact of creative techniques such as  PBRC patents in accomplishing SDG 7.1, this chapter takes a more optimistic turn. Among these success stories is one from Pakistan, which has achieved great progress in improving energy access through collaboration and technology.</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2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Case Study 1: Bangladesh's Solar Revolution:</w:t>
      </w:r>
    </w:p>
    <w:p w:rsidR="008C0579" w:rsidRPr="00842337" w:rsidRDefault="008C0579" w:rsidP="008C0579">
      <w:pPr>
        <w:pStyle w:val="Paragrafoelenco"/>
        <w:numPr>
          <w:ilvl w:val="0"/>
          <w:numId w:val="28"/>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Bangladesh, a densely populated country with limited grid connectivity, faced significant challenges in providing energy access. Numerous households, particularly those in remote and rural areas, lacked reliable electricity. However, the nation embarked on an innovative path to address these challenges by embracing solar energy solutions.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28"/>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Success Story</w:t>
      </w:r>
      <w:r w:rsidRPr="00842337">
        <w:rPr>
          <w:rFonts w:ascii="Times New Roman" w:hAnsi="Times New Roman" w:cs="Times New Roman"/>
          <w:sz w:val="24"/>
          <w:szCs w:val="24"/>
        </w:rPr>
        <w:t>: In 2003, Bangladesh initiated the Solar Home System (SHS) program, which aimed to provide off-grid electricity to rural households through the use of solar panels. The key innovation in this program was the implementation of microfinancing, making solar systems affordable for rural communities. Through the SHS program, a typical household could obtain a solar system with a small initial payment, with the remaining cost covered through microloans. This approach revolutionized energy access in rural areas, empowering households with clean and dependable electricity.</w:t>
      </w:r>
    </w:p>
    <w:p w:rsidR="008C0579" w:rsidRPr="00842337" w:rsidRDefault="008C0579" w:rsidP="008C0579">
      <w:pPr>
        <w:pStyle w:val="Paragrafoelenco"/>
        <w:numPr>
          <w:ilvl w:val="0"/>
          <w:numId w:val="28"/>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PBRC patents played a crucial role in this success story by facilitating collaboration and knowledge sharing among inventors and innovators. By promoting royalty-free access, inventors freely exchanged their solar technology designs, resulting in the development of affordable and efficient solar home systems. The collaboration among various stakeholders, ranging from government agencies to microfinance institutions, contributed to the program's </w:t>
      </w:r>
      <w:r w:rsidRPr="00842337">
        <w:rPr>
          <w:rFonts w:ascii="Times New Roman" w:hAnsi="Times New Roman" w:cs="Times New Roman"/>
          <w:sz w:val="24"/>
          <w:szCs w:val="24"/>
        </w:rPr>
        <w:lastRenderedPageBreak/>
        <w:t>expansion and the provision of electricity to millions of homes, aligning with SDG 7.1.</w:t>
      </w:r>
    </w:p>
    <w:p w:rsidR="008C0579" w:rsidRPr="00842337" w:rsidRDefault="008C0579" w:rsidP="008C0579">
      <w:pPr>
        <w:pStyle w:val="Paragrafoelenco"/>
        <w:numPr>
          <w:ilvl w:val="0"/>
          <w:numId w:val="2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Case Study 2: Solar Irrigation in India</w:t>
      </w:r>
    </w:p>
    <w:p w:rsidR="008C0579" w:rsidRPr="00842337" w:rsidRDefault="008C0579" w:rsidP="008C0579">
      <w:pPr>
        <w:pStyle w:val="Paragrafoelenco"/>
        <w:numPr>
          <w:ilvl w:val="0"/>
          <w:numId w:val="29"/>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provision of energy for agricultural irrigation plays a crucial role in the attainment of SDG 7.1. In India, where agriculture holds significant economic importance, there exists a pressing need for sustainable and efficient irrigation solutions. The implementation of solar-powered irrigation pumps has exhibited considerable potential in addressing this need.</w:t>
      </w:r>
    </w:p>
    <w:p w:rsidR="008C0579" w:rsidRPr="00842337" w:rsidRDefault="008C0579" w:rsidP="008C0579">
      <w:pPr>
        <w:pStyle w:val="Paragrafoelenco"/>
        <w:numPr>
          <w:ilvl w:val="0"/>
          <w:numId w:val="29"/>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Illustrative Example:</w:t>
      </w:r>
      <w:r w:rsidRPr="00842337">
        <w:rPr>
          <w:rFonts w:ascii="Times New Roman" w:hAnsi="Times New Roman" w:cs="Times New Roman"/>
          <w:sz w:val="24"/>
          <w:szCs w:val="24"/>
        </w:rPr>
        <w:t xml:space="preserve"> In regions such as Gujarat, India, the utilization of solar-powered irrigation pumps has revolutionized farming practices. These pumps harness solar energy to extract water from wells and canals, thereby offering a dependable and sustainable irrigation source. The introduction of such systems has not only alleviated the reliance on diesel or grid-based pumps but has also yielded substantial energy savings and environmental advantages.</w:t>
      </w:r>
    </w:p>
    <w:p w:rsidR="008C0579" w:rsidRPr="00842337" w:rsidRDefault="008C0579" w:rsidP="008C0579">
      <w:pPr>
        <w:pStyle w:val="Paragrafoelenco"/>
        <w:numPr>
          <w:ilvl w:val="0"/>
          <w:numId w:val="29"/>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The accomplishments of these systems owe much to the contributions of  PBRC patents, which have fostered collaboration and innovation. These patents have facilitated the unrestricted access and adaptation of solar pump technologies by local inventors and entrepreneurs, thereby promoting the development of efficient and cost-effective solutions for Indian farmers. This approach aligns with the objectives of SDG 7.1, which seek to ensure sustainable energy access and economic growth, particularly within the agricultural sector.</w:t>
      </w:r>
    </w:p>
    <w:p w:rsidR="008C0579" w:rsidRPr="00842337" w:rsidRDefault="008C0579" w:rsidP="008C0579">
      <w:pPr>
        <w:pStyle w:val="Paragrafoelenco"/>
        <w:numPr>
          <w:ilvl w:val="0"/>
          <w:numId w:val="2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Case Study 3: Pakistan's Energy Transition</w:t>
      </w:r>
    </w:p>
    <w:p w:rsidR="008C0579" w:rsidRPr="00842337" w:rsidRDefault="008C0579" w:rsidP="008C0579">
      <w:pPr>
        <w:pStyle w:val="Paragrafoelenco"/>
        <w:numPr>
          <w:ilvl w:val="0"/>
          <w:numId w:val="31"/>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Pakistan has made significant strides in its transition to clean energy sources, thereby reducing its dependence on fossil fuels and addressing energy access challenges. The country's journey towards energy sustainability and electrification is a testament to the potential of innovative models and technology in achieving SDG 7.1.</w:t>
      </w:r>
    </w:p>
    <w:p w:rsidR="008C0579" w:rsidRPr="00842337" w:rsidRDefault="008C0579" w:rsidP="008C0579">
      <w:pPr>
        <w:pStyle w:val="Paragrafoelenco"/>
        <w:numPr>
          <w:ilvl w:val="0"/>
          <w:numId w:val="31"/>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Success Story:</w:t>
      </w:r>
      <w:r w:rsidRPr="00842337">
        <w:rPr>
          <w:rFonts w:ascii="Times New Roman" w:hAnsi="Times New Roman" w:cs="Times New Roman"/>
          <w:sz w:val="24"/>
          <w:szCs w:val="24"/>
        </w:rPr>
        <w:t xml:space="preserve"> Pakistan's multifaceted energy transition encompasses several key aspects:</w:t>
      </w:r>
    </w:p>
    <w:p w:rsidR="008C0579" w:rsidRPr="00842337" w:rsidRDefault="008C0579" w:rsidP="008C0579">
      <w:pPr>
        <w:pStyle w:val="Paragrafoelenco"/>
        <w:numPr>
          <w:ilvl w:val="0"/>
          <w:numId w:val="3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Hydropower Development:</w:t>
      </w:r>
      <w:r w:rsidRPr="00842337">
        <w:rPr>
          <w:rFonts w:ascii="Times New Roman" w:hAnsi="Times New Roman" w:cs="Times New Roman"/>
          <w:sz w:val="24"/>
          <w:szCs w:val="24"/>
        </w:rPr>
        <w:t xml:space="preserve"> Pakistan has harnessed its hydropower potential through the construction of dams and hydropower projects. These projects provide clean and renewable energy while also enhancing grid connectivity.</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Renewable Energy Auctions</w:t>
      </w:r>
      <w:r w:rsidRPr="00842337">
        <w:rPr>
          <w:rFonts w:ascii="Times New Roman" w:hAnsi="Times New Roman" w:cs="Times New Roman"/>
          <w:sz w:val="24"/>
          <w:szCs w:val="24"/>
        </w:rPr>
        <w:t>: The country has successfully conducted renewable energy auctions, attracting both local and international investors to establish wind and solar power projects. These actions have contributed to the growth of renewable energy capacity.</w:t>
      </w:r>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pStyle w:val="Paragrafoelenco"/>
        <w:numPr>
          <w:ilvl w:val="0"/>
          <w:numId w:val="3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t>Off-Grid Solar Solutions:</w:t>
      </w:r>
      <w:r w:rsidRPr="00842337">
        <w:rPr>
          <w:rFonts w:ascii="Times New Roman" w:hAnsi="Times New Roman" w:cs="Times New Roman"/>
          <w:sz w:val="24"/>
          <w:szCs w:val="24"/>
        </w:rPr>
        <w:t xml:space="preserve"> Pakistan's off-grid solar initiatives have extended electricity access to remote and off-grid areas. Solar mini-grids and home solar systems have played a pivotal role in providing reliable electricity to underserved communities.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0"/>
        </w:numPr>
        <w:spacing w:line="360" w:lineRule="auto"/>
        <w:ind w:left="0"/>
        <w:jc w:val="both"/>
        <w:rPr>
          <w:rFonts w:ascii="Times New Roman" w:hAnsi="Times New Roman" w:cs="Times New Roman"/>
          <w:sz w:val="24"/>
          <w:szCs w:val="24"/>
        </w:rPr>
      </w:pPr>
      <w:r w:rsidRPr="00842337">
        <w:rPr>
          <w:rFonts w:ascii="Times New Roman" w:hAnsi="Times New Roman" w:cs="Times New Roman"/>
          <w:b/>
          <w:bCs/>
          <w:sz w:val="24"/>
          <w:szCs w:val="24"/>
        </w:rPr>
        <w:lastRenderedPageBreak/>
        <w:t>Collaborative Models:</w:t>
      </w:r>
      <w:r w:rsidRPr="00842337">
        <w:rPr>
          <w:rFonts w:ascii="Times New Roman" w:hAnsi="Times New Roman" w:cs="Times New Roman"/>
          <w:sz w:val="24"/>
          <w:szCs w:val="24"/>
        </w:rPr>
        <w:t xml:space="preserve"> Collaborative initiatives, including the use of  PBRC patents, have supported technology sharing and innovation. This collaborative approach has expedited the development and deployment of clean energy solutions.</w:t>
      </w:r>
    </w:p>
    <w:p w:rsidR="008C0579" w:rsidRPr="00842337" w:rsidRDefault="008C0579" w:rsidP="008C0579">
      <w:pPr>
        <w:pStyle w:val="Paragrafoelenco"/>
        <w:numPr>
          <w:ilvl w:val="0"/>
          <w:numId w:val="3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Pakistan's effective shift to sustainable energy has improved not only electricity access but also environmental sustainability and economic prosperity. Collaborative methods, including the use of  PBRC patents, have been critical in reaching these goals, which align with SDG 7.1 objectives.</w:t>
      </w:r>
    </w:p>
    <w:p w:rsidR="008C0579" w:rsidRPr="00842337" w:rsidRDefault="008C0579" w:rsidP="008C0579">
      <w:pPr>
        <w:pStyle w:val="Paragrafoelenco"/>
        <w:ind w:left="0"/>
        <w:jc w:val="both"/>
        <w:rPr>
          <w:rFonts w:ascii="Times New Roman" w:hAnsi="Times New Roman" w:cs="Times New Roman"/>
          <w:sz w:val="24"/>
          <w:szCs w:val="24"/>
        </w:rPr>
      </w:pPr>
    </w:p>
    <w:p w:rsidR="008C0579" w:rsidRPr="00842337" w:rsidRDefault="008C0579" w:rsidP="008C0579">
      <w:pPr>
        <w:pStyle w:val="Paragrafoelenco"/>
        <w:numPr>
          <w:ilvl w:val="0"/>
          <w:numId w:val="2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Case Study 4: Sustainable Cooking in Kenya</w:t>
      </w:r>
    </w:p>
    <w:p w:rsidR="008C0579" w:rsidRPr="00842337" w:rsidRDefault="008C0579" w:rsidP="008C0579">
      <w:pPr>
        <w:pStyle w:val="Paragrafoelenco"/>
        <w:numPr>
          <w:ilvl w:val="0"/>
          <w:numId w:val="3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provision of clean and efficient cooking solutions is a fundamental component of Sustainable Development Goal 7.1. In Kenya, a project has been implemented to promote sustainable and clean cooking technologies, and it has demonstrated the transformative impact of innovative approaches.</w:t>
      </w:r>
    </w:p>
    <w:p w:rsidR="008C0579" w:rsidRPr="00842337" w:rsidRDefault="008C0579" w:rsidP="008C0579">
      <w:pPr>
        <w:pStyle w:val="Paragrafoelenco"/>
        <w:numPr>
          <w:ilvl w:val="0"/>
          <w:numId w:val="3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 notable success story in Kenya involves the promotion of clean cookstoves through the utilization of innovative </w:t>
      </w:r>
      <w:r w:rsidRPr="00842337">
        <w:rPr>
          <w:rFonts w:ascii="Times New Roman" w:hAnsi="Times New Roman" w:cs="Times New Roman"/>
          <w:sz w:val="24"/>
          <w:szCs w:val="24"/>
        </w:rPr>
        <w:lastRenderedPageBreak/>
        <w:t>financing models. These clean cookstoves have proven to be effective in reducing indoor air pollution and dependence on traditional biomass, resulting in improved health and environmental outcomes.</w:t>
      </w:r>
    </w:p>
    <w:p w:rsidR="008C0579" w:rsidRPr="00842337" w:rsidRDefault="008C0579" w:rsidP="008C0579">
      <w:pPr>
        <w:pStyle w:val="Paragrafoelenco"/>
        <w:numPr>
          <w:ilvl w:val="0"/>
          <w:numId w:val="32"/>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initiative has been supported by  PBRC patents, which have played a crucial role in facilitating open access to clean cookstove technologies. By removing financial barriers, these patents have enabled local entrepreneurs to obtain and adapt clean cooking solutions. This approach has empowered communities to transition from traditional cooking methods to cleaner alternatives, thereby aligning with the sustainability objectives outlined in SDG 7.1.</w:t>
      </w: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 xml:space="preserve">Summary: </w:t>
      </w:r>
    </w:p>
    <w:p w:rsidR="008C0579" w:rsidRPr="00842337" w:rsidRDefault="008C0579" w:rsidP="008C0579">
      <w:pPr>
        <w:pStyle w:val="Paragrafoelenco"/>
        <w:numPr>
          <w:ilvl w:val="0"/>
          <w:numId w:val="33"/>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 Summary, the case studies and success stories presented here serve as compelling illustrations of how innovative approaches, such as the  PBRC patents, can contribute to the advancement of SDG 7.1. These examples underscore the transformative power of technology, collaboration, and open access in addressing energy access challenges and promoting sustainability.</w:t>
      </w:r>
    </w:p>
    <w:p w:rsidR="008C0579" w:rsidRPr="00842337" w:rsidRDefault="008C0579" w:rsidP="008C0579">
      <w:pPr>
        <w:pStyle w:val="Paragrafoelenco"/>
        <w:numPr>
          <w:ilvl w:val="0"/>
          <w:numId w:val="33"/>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lastRenderedPageBreak/>
        <w:t>While each success story is unique, they all share common elements: the elimination of financial barriers, collaboration among stakeholders, and a commitment to public benefit. These principles align with the overarching objectives of SDG 7.1, which aim to ensure that clean, affordable, and reliable energy is accessible to all, regardless of their geographical location or economic status.</w:t>
      </w:r>
    </w:p>
    <w:p w:rsidR="004A54FD" w:rsidRPr="004A54FD" w:rsidRDefault="008C0579" w:rsidP="004A54FD">
      <w:pPr>
        <w:pStyle w:val="Paragrafoelenco"/>
        <w:numPr>
          <w:ilvl w:val="0"/>
          <w:numId w:val="33"/>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As we derive inspiration from these narratives, we acknowledge that the journey toward universal and sustainable energy access is an ongoing one. The obstacles we face are indeed significant, but so too are the opportunities for innovation and collaboration. By embracing the principles of  PBRC patents and harnessing the dedication of individuals, communities, and organizations, we have the potential to transform the vision of SDG 7.1 into a tangible reality, bringing us closer to a world where everyone has equitable access to the energy required for a brighter and more sustainable future.</w:t>
      </w:r>
      <w:bookmarkStart w:id="79" w:name="_Toc148255246"/>
      <w:bookmarkStart w:id="80" w:name="_Toc148257137"/>
    </w:p>
    <w:p w:rsidR="008C0579" w:rsidRPr="00E06770" w:rsidRDefault="008C0579" w:rsidP="004A54FD">
      <w:pPr>
        <w:pStyle w:val="Titolo1"/>
        <w:rPr>
          <w:sz w:val="24"/>
          <w:szCs w:val="24"/>
          <w:lang w:val="en-US"/>
        </w:rPr>
      </w:pPr>
      <w:bookmarkStart w:id="81" w:name="_Toc149491248"/>
      <w:r w:rsidRPr="00E06770">
        <w:rPr>
          <w:lang w:val="en-US"/>
        </w:rPr>
        <w:lastRenderedPageBreak/>
        <w:t>The Way Forward</w:t>
      </w:r>
      <w:bookmarkEnd w:id="79"/>
      <w:bookmarkEnd w:id="80"/>
      <w:bookmarkEnd w:id="81"/>
    </w:p>
    <w:p w:rsidR="008C0579" w:rsidRPr="00842337" w:rsidRDefault="008C0579" w:rsidP="008C0579">
      <w:pPr>
        <w:rPr>
          <w:rFonts w:ascii="Times New Roman" w:hAnsi="Times New Roman" w:cs="Times New Roman"/>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This chapter explains the next steps in our investigation of Sustainable Development Goal (SDG) 7.1 and the catalytic function of  PBRC (Photo Bio Reactor Continuous) patents. We focus on Pakistan in particular to provide practical solutions for achieving universal and sustainable energy access while emphasizing the continuous importance of creative techniques.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5"/>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Enhancing Policy and Regulatory Frameworks: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One of the fundamental steps towards achieving Sustainable Development Goal 7.1 is the establishment of robust and supportive policy and regulatory frameworks. In Pakistan, the government has made significant progress in this area by implementing renewable energy-friendly policies, offering attractive incentives to investors, and streamlining regulations. However, it is crucial to continue efforts to ensure stability and coherence.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Way Forward in Pakistan: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Pakistan should prioritize the maintenance and improvement of its supportive policies. This entails </w:t>
      </w:r>
      <w:r w:rsidRPr="00842337">
        <w:rPr>
          <w:rFonts w:ascii="Times New Roman" w:hAnsi="Times New Roman" w:cs="Times New Roman"/>
          <w:sz w:val="24"/>
          <w:szCs w:val="24"/>
          <w:lang w:val="en-US"/>
        </w:rPr>
        <w:lastRenderedPageBreak/>
        <w:t>guaranteeing long-term power purchase agreements for renewable energy projects, providing fiscal incentives, and harmonizing policies across provinces. By creating an environment that encourages investment and innovation, Pakistan can attract a greater number of stakeholders to its energy sector.</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Scaling Renewable Energy Capacity: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expansion of renewable energy capacity is a pivotal factor in the attainment of SDG 7.1. Pakistan has initiated this process through the establishment of wind, solar, and hydropower initiatives. It is imperative to further augment renewable energy capacity, with a particular emphasis on diversification and the assimilation of state-of-the-art technologies.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The Path Ahead for Pakistan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Pakistan must persist in the development of its renewable energy potential by leveraging wind, solar, and hydropower resources, while simultaneously exploring emerging technologies such as offshore wind and advanced solar solutions. The widespread adoption of renewable energy can significantly curtail greenhouse gas emissions and enhance energy accessibility.</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lastRenderedPageBreak/>
        <w:t>Promoting Energy Efficiency: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Efficiency in energy production, distribution, and consumption is essential for achieving SDG 7.1. Energy-efficient practices reduce waste, lower costs, and improve the reliability of energy supply. Pakistan can make significant strides in promoting energy efficiency across various sectors, from industry to residential.</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Way Forward in Pakistan: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Pakistan should adopt energy-efficient practices and technologies, such as LED lighting, smart appliances, and efficient industrial processes. Public awareness campaigns and financial incentives for energy-efficient investments can accelerate the adoption of these practices.</w:t>
      </w:r>
    </w:p>
    <w:p w:rsidR="008C0579" w:rsidRPr="00842337" w:rsidRDefault="008C0579" w:rsidP="008C0579">
      <w:pPr>
        <w:pStyle w:val="Paragrafoelenco"/>
        <w:numPr>
          <w:ilvl w:val="0"/>
          <w:numId w:val="34"/>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 Extending Energy Access to Remote Areas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Energy access in remote and underserved areas remains a significant challenge in Pakistan. To overcome this barrier, the country should focus on the deployment of off-grid and decentralized energy solutions that can provide reliable electricity to remote communities.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Way Forward in Pakistan</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Initiatives like the distribution of solar home systems and microgrids can significantly improve energy access in </w:t>
      </w:r>
      <w:r w:rsidRPr="00842337">
        <w:rPr>
          <w:rFonts w:ascii="Times New Roman" w:hAnsi="Times New Roman" w:cs="Times New Roman"/>
          <w:sz w:val="24"/>
          <w:szCs w:val="24"/>
          <w:lang w:val="en-US"/>
        </w:rPr>
        <w:lastRenderedPageBreak/>
        <w:t>remote areas. Collaborative models, driven by  PBRC patents, can expedite the development and dissemination of these solutions while ensuring affordability.</w:t>
      </w:r>
    </w:p>
    <w:p w:rsidR="008C0579" w:rsidRPr="00842337" w:rsidRDefault="008C0579" w:rsidP="008C0579">
      <w:pPr>
        <w:jc w:val="both"/>
        <w:rPr>
          <w:rFonts w:ascii="Times New Roman" w:hAnsi="Times New Roman" w:cs="Times New Roman"/>
          <w:b/>
          <w:bCs/>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Collaboration and Technology Sharing</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Collaboration and knowledge sharing are fundamental to the principles of  PBRC patents. Pakistan can continue to embrace these values by encouraging open collaboration among inventors, institutions, and industry stakeholders. This approach can foster innovation and expedite the development of sustainable energy 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Way Forward in Pakistan</w:t>
      </w:r>
      <w:r w:rsidRPr="00842337">
        <w:rPr>
          <w:rFonts w:ascii="Times New Roman" w:hAnsi="Times New Roman" w:cs="Times New Roman"/>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Pakistan should actively support initiatives that promote collaboration and technology sharing. Encouraging inventors and entrepreneurs to leverage  PBRC patents can expedite the development of clean energy solutions. Government incentives and grants can further facilitate this approach.</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Promoting Sustainable Cooking 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Clean cooking solutions are integral to SDG 7.1, and Pakistan can address this challenge by promoting the adoption of clean cookstoves and sustainable cooking practices. This approach contributes to health improvements and reduces environmental impact.</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Way Forward in Pakistan: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Pakistan should launch campaigns and programs to promote clean cooking technologies, ensuring they reach rural and marginalized communities. Collaborative efforts with NGOs and local organizations can facilitate the distribution and adoption of these solutions.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Access to Financing:</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Access to finance remains a critical barrier, particularly in developing countries like Pakistan. Addressing this challenge necessitates innovative financing models that support the deployment of clean energy technologies.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Way Forward in Pakistan: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Pakistan should explore innovative financing models, such as microloans and crowd-funding, to support energy </w:t>
      </w:r>
      <w:r w:rsidRPr="00842337">
        <w:rPr>
          <w:rFonts w:ascii="Times New Roman" w:hAnsi="Times New Roman" w:cs="Times New Roman"/>
          <w:sz w:val="24"/>
          <w:szCs w:val="24"/>
          <w:lang w:val="en-US"/>
        </w:rPr>
        <w:lastRenderedPageBreak/>
        <w:t>projects in underserved areas. In addition, international partnerships and grants can provide essential capital for expanding clean energy access.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Public Awareness and Education: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Awareness and education are key drivers of change. Pakistan should prioritize public awareness campaigns and educational initiatives to inform communities about the benefits of clean energy, energy efficiency, and sustainable cooking practices.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sz w:val="24"/>
          <w:szCs w:val="24"/>
          <w:lang w:val="en-US"/>
        </w:rPr>
        <w:t>Way Forward in Pakistan: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Pakistan should invest in public awareness campaigns, educational programs, and community engagement initiatives. These efforts can empower communities to embrace clean energy solutions and contribute to their energy access.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4"/>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Monitoring and Evaluation: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A robust monitoring and evaluation system is essential to track progress toward SDG 7.1. Pakistan should establish </w:t>
      </w:r>
      <w:r w:rsidRPr="00842337">
        <w:rPr>
          <w:rFonts w:ascii="Times New Roman" w:hAnsi="Times New Roman" w:cs="Times New Roman"/>
          <w:sz w:val="24"/>
          <w:szCs w:val="24"/>
          <w:lang w:val="en-US"/>
        </w:rPr>
        <w:lastRenderedPageBreak/>
        <w:t>a comprehensive framework for assessing the impact of clean energy initiatives and making data-driven decisions.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Way Forward in Pakistan</w:t>
      </w:r>
      <w:r w:rsidRPr="00842337">
        <w:rPr>
          <w:rFonts w:ascii="Times New Roman" w:hAnsi="Times New Roman" w:cs="Times New Roman"/>
          <w:sz w:val="24"/>
          <w:szCs w:val="24"/>
          <w:lang w:val="en-US"/>
        </w:rPr>
        <w:t xml:space="preserve">: </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Pakistan should invest in data collection, analysis, and regular reporting. This information can guide policymakers and stakeholders, ensuring that clean energy initiatives are on track and adjustments are made as needed.</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Summary:</w:t>
      </w:r>
    </w:p>
    <w:p w:rsidR="008C0579" w:rsidRPr="00842337" w:rsidRDefault="008C0579" w:rsidP="008C0579">
      <w:pPr>
        <w:pStyle w:val="Paragrafoelenco"/>
        <w:numPr>
          <w:ilvl w:val="0"/>
          <w:numId w:val="3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In Summary, Pakistan's journey toward achieving SDG 7.1 reflects the broader global effort to ensure universal and sustainable energy access. The principles of  PBRC patents, with their focus on collaboration, open access, and affordability, can serve as a guiding light in this endeavor. By strengthening policy frameworks, expanding renewable energy capacity, promoting energy efficiency, extending energy access to remote areas, and prioritizing public awareness, Pakistan can continue to make </w:t>
      </w:r>
      <w:r w:rsidRPr="00842337">
        <w:rPr>
          <w:rFonts w:ascii="Times New Roman" w:hAnsi="Times New Roman" w:cs="Times New Roman"/>
          <w:sz w:val="24"/>
          <w:szCs w:val="24"/>
        </w:rPr>
        <w:lastRenderedPageBreak/>
        <w:t>substantial progress in improving energy access while contributing to a more sustainable and prosperous future.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4"/>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way forward involves continued innovation, collaboration, and a steadfast commitment to the principles of public benefit. By doing so, Pakistan, like many other nations, can move closer to achieving the goal of SDG 7.1, where clean, affordable, and reliable energy is accessible to all, irrespective of their circumstances. The path may be challenging, but it holds immense promise for a brighter, more sustainable future.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82" w:name="_Toc148255247"/>
      <w:bookmarkStart w:id="83" w:name="_Toc148257138"/>
      <w:bookmarkStart w:id="84" w:name="_Toc149491249"/>
      <w:r w:rsidRPr="00842337">
        <w:rPr>
          <w:rFonts w:ascii="Times New Roman" w:hAnsi="Times New Roman" w:cs="Times New Roman"/>
          <w:lang w:val="en-US"/>
        </w:rPr>
        <w:lastRenderedPageBreak/>
        <w:t>Global Perspectives on PBRC Patents</w:t>
      </w:r>
      <w:bookmarkEnd w:id="82"/>
      <w:bookmarkEnd w:id="83"/>
      <w:bookmarkEnd w:id="84"/>
      <w:r w:rsidRPr="00842337">
        <w:rPr>
          <w:rFonts w:ascii="Times New Roman" w:hAnsi="Times New Roman" w:cs="Times New Roman"/>
          <w:lang w:val="en-US"/>
        </w:rPr>
        <w:t xml:space="preserve"> </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expansion of renewable energy capacity is a pivotal factor in the attainment of SDG 7.1. Pakistan has initiated this process through the establishment of wind, solar, and hydropower initiatives. It is imperative to further augment renewable energy capacity, with a particular emphasis on diversification and the assimilation of state-of-the-art technologies.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Path Ahead for Pakistan</w:t>
      </w:r>
      <w:r w:rsidRPr="00842337">
        <w:rPr>
          <w:rFonts w:ascii="Times New Roman" w:hAnsi="Times New Roman" w:cs="Times New Roman"/>
          <w:sz w:val="24"/>
          <w:szCs w:val="24"/>
          <w:lang w:val="en-US"/>
        </w:rPr>
        <w:t>: Pakistan must persist in the development of its renewable energy potential by leveraging wind, solar, and hydropower resources, while simultaneously exploring emerging technologies such as offshore wind and advanced solar solutions. The widespread adoption of renewable energy can significantly curtail greenhouse gas emissions and enhance energy accessibility.</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PBRC Patents as a Catalyst for Global Progress: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PBRC patents offer a unique and innovative approach that aligns with the principles of SDG 7.1. By prioritizing public benefit, removing financial barriers, and fostering collaboration, these patents create a conducive </w:t>
      </w:r>
      <w:r w:rsidRPr="00842337">
        <w:rPr>
          <w:rFonts w:ascii="Times New Roman" w:hAnsi="Times New Roman" w:cs="Times New Roman"/>
          <w:sz w:val="24"/>
          <w:szCs w:val="24"/>
          <w:lang w:val="en-US"/>
        </w:rPr>
        <w:lastRenderedPageBreak/>
        <w:t>environment for addressing the challenges of energy access on a global scale. Several key aspects of PBRC patents are particularly relevant from a global perspective: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Open Access:</w:t>
      </w:r>
      <w:r w:rsidRPr="00842337">
        <w:rPr>
          <w:rFonts w:ascii="Times New Roman" w:hAnsi="Times New Roman" w:cs="Times New Roman"/>
          <w:sz w:val="24"/>
          <w:szCs w:val="24"/>
          <w:lang w:val="en-US"/>
        </w:rPr>
        <w:t xml:space="preserve"> The removal of royalty and licensing fees ensures that clean energy technologies are affordable and accessible to a wide range of stakeholders, irrespective of their financial means. This universal accessibility is central to the global pursuit of SDG 7.1.</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Collaboration</w:t>
      </w:r>
      <w:r w:rsidRPr="00842337">
        <w:rPr>
          <w:rFonts w:ascii="Times New Roman" w:hAnsi="Times New Roman" w:cs="Times New Roman"/>
          <w:sz w:val="24"/>
          <w:szCs w:val="24"/>
          <w:lang w:val="en-US"/>
        </w:rPr>
        <w:t>: The collaborative nature of PBRC patents encourages the sharing of knowledge and expertise across borders. This can expedite the development of clean energy solutions by harnessing the collective potential of inventors, researchers, and institutions from around the world.</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Timely Deployment:</w:t>
      </w:r>
      <w:r w:rsidRPr="00842337">
        <w:rPr>
          <w:rFonts w:ascii="Times New Roman" w:hAnsi="Times New Roman" w:cs="Times New Roman"/>
          <w:sz w:val="24"/>
          <w:szCs w:val="24"/>
          <w:lang w:val="en-US"/>
        </w:rPr>
        <w:t xml:space="preserve"> The "timely" aspect of PBRC patents is especially relevant in addressing global energy access challenges. By expediting the deployment of clean energy technologies, these patents contribute to achieving SDG 7.1 within the stipulated time frame.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Equity:</w:t>
      </w:r>
      <w:r w:rsidRPr="00842337">
        <w:rPr>
          <w:rFonts w:ascii="Times New Roman" w:hAnsi="Times New Roman" w:cs="Times New Roman"/>
          <w:sz w:val="24"/>
          <w:szCs w:val="24"/>
          <w:lang w:val="en-US"/>
        </w:rPr>
        <w:t xml:space="preserve"> The principles of public benefit and equity embedded in PBRC patents resonate with the global commitment to leaving no one behind. They ensure that the benefits of innovation are accessible to underserved and marginalized communities, wherever they may be.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Global Case Studies and Initiatives: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Several global initiatives and case studies illustrate the transformative potential of PBRC patents in advancing SDG 7.1 on an international scale: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African Renewable Energy Initiative (AREI):</w:t>
      </w:r>
      <w:r w:rsidRPr="00842337">
        <w:rPr>
          <w:rFonts w:ascii="Times New Roman" w:hAnsi="Times New Roman" w:cs="Times New Roman"/>
          <w:sz w:val="24"/>
          <w:szCs w:val="24"/>
          <w:lang w:val="en-US"/>
        </w:rPr>
        <w:t xml:space="preserve"> AREI is a continent-wide effort to accelerate the development of clean energy solutions in Africa. By leveraging innovative models and technologies, including PBRC patents, the initiative aims to enhance energy access for millions of Africans while promoting sustainability and economic growth.</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Global Collaborative Projects:</w:t>
      </w:r>
      <w:r w:rsidRPr="00842337">
        <w:rPr>
          <w:rFonts w:ascii="Times New Roman" w:hAnsi="Times New Roman" w:cs="Times New Roman"/>
          <w:sz w:val="24"/>
          <w:szCs w:val="24"/>
          <w:lang w:val="en-US"/>
        </w:rPr>
        <w:t xml:space="preserve"> Collaborative projects between nations, researchers, and organizations are increasingly using PBRC patent principles to advance </w:t>
      </w:r>
      <w:r w:rsidRPr="00842337">
        <w:rPr>
          <w:rFonts w:ascii="Times New Roman" w:hAnsi="Times New Roman" w:cs="Times New Roman"/>
          <w:sz w:val="24"/>
          <w:szCs w:val="24"/>
          <w:lang w:val="en-US"/>
        </w:rPr>
        <w:lastRenderedPageBreak/>
        <w:t>clean energy solutions. These projects promote the sharing of knowledge, technology, and resources to tackle energy access challenges in a coordinated manner.</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United Nations Initiatives:</w:t>
      </w:r>
      <w:r w:rsidRPr="00842337">
        <w:rPr>
          <w:rFonts w:ascii="Times New Roman" w:hAnsi="Times New Roman" w:cs="Times New Roman"/>
          <w:sz w:val="24"/>
          <w:szCs w:val="24"/>
          <w:lang w:val="en-US"/>
        </w:rPr>
        <w:t xml:space="preserve"> Various United Nations agencies and organizations are actively engaging with PBRC patent models to support the achievement of SDG 7.1. These efforts include fostering partnerships, sharing best practices, and creating a global framework for advancing clean energy access.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International Renewable Energy Agreements: International agreements, such as the Paris Agreement on climate change, emphasize the importance of transitioning to renewable energy sources. PBRC patents can play a vital role in supporting the development and dissemination of clean energy technologies in alignment with these agreements.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Role of Global Collaboration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Global perspectives on PBRC patents and SDG 7.1 emphasize the importance of international collaboration. Achieving universal and sustainable energy access requires collective action, knowledge sharing, and the </w:t>
      </w:r>
      <w:r w:rsidRPr="00842337">
        <w:rPr>
          <w:rFonts w:ascii="Times New Roman" w:hAnsi="Times New Roman" w:cs="Times New Roman"/>
          <w:sz w:val="24"/>
          <w:szCs w:val="24"/>
          <w:lang w:val="en-US"/>
        </w:rPr>
        <w:lastRenderedPageBreak/>
        <w:t>pooling of resources and expertise. Key areas of global collaboration include: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Cross-Border Technology Sharing</w:t>
      </w:r>
      <w:r w:rsidRPr="00842337">
        <w:rPr>
          <w:rFonts w:ascii="Times New Roman" w:hAnsi="Times New Roman" w:cs="Times New Roman"/>
          <w:sz w:val="24"/>
          <w:szCs w:val="24"/>
          <w:lang w:val="en-US"/>
        </w:rPr>
        <w:t>: Collaborative efforts to share innovative technologies can expedite the development of clean energy solutions. By adopting open and royalty-free patent models, nations can facilitate technology sharing and cooperation.</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Capacity Building</w:t>
      </w:r>
      <w:r w:rsidRPr="00842337">
        <w:rPr>
          <w:rFonts w:ascii="Times New Roman" w:hAnsi="Times New Roman" w:cs="Times New Roman"/>
          <w:sz w:val="24"/>
          <w:szCs w:val="24"/>
          <w:lang w:val="en-US"/>
        </w:rPr>
        <w:t>: Capacity building initiatives can empower countries with the knowledge and skills needed to develop and implement clean energy technologies. International partnerships can support capacity building in regions facing energy access challenges.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Policy Harmonization:</w:t>
      </w:r>
      <w:r w:rsidRPr="00842337">
        <w:rPr>
          <w:rFonts w:ascii="Times New Roman" w:hAnsi="Times New Roman" w:cs="Times New Roman"/>
          <w:sz w:val="24"/>
          <w:szCs w:val="24"/>
          <w:lang w:val="en-US"/>
        </w:rPr>
        <w:t xml:space="preserve"> Aligning energy policies and regulations on a global scale can simplify cross-border collaboration and investments. Harmonized frameworks can facilitate the integration of clean energy solutions into the energy mix of different countries.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lastRenderedPageBreak/>
        <w:t>Data and Knowledge Sharing:</w:t>
      </w:r>
      <w:r w:rsidRPr="00842337">
        <w:rPr>
          <w:rFonts w:ascii="Times New Roman" w:hAnsi="Times New Roman" w:cs="Times New Roman"/>
          <w:sz w:val="24"/>
          <w:szCs w:val="24"/>
          <w:lang w:val="en-US"/>
        </w:rPr>
        <w:t xml:space="preserve"> The sharing of data, research findings, and best practices can foster innovation and ensure that energy access initiatives are based on the latest information and evidence.</w:t>
      </w: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Global Progress and Future Prospects:</w:t>
      </w: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Global progress toward achieving SDG 7.1 is marked by the continued commitment of nations, organizations, and individuals to make clean, affordable, and reliable energy accessible to all. The principles of PBRC patents provide a dynamic and open approach to innovation and collaboration, fostering the development and dissemination of clean energy solutions on a global scale.</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As we look to the future, the intersection of PBRC patents and SDG 7.1 offers great promise. By embracing these principles, nations can work together to address the pressing challenges of energy access, reduce inequalities, and create a more sustainable and equitable world. While the journey may be complex, the global community's </w:t>
      </w:r>
      <w:r w:rsidRPr="00842337">
        <w:rPr>
          <w:rFonts w:ascii="Times New Roman" w:hAnsi="Times New Roman" w:cs="Times New Roman"/>
          <w:sz w:val="24"/>
          <w:szCs w:val="24"/>
        </w:rPr>
        <w:lastRenderedPageBreak/>
        <w:t>shared vision of energy access for all is a powerful catalyst for transformation and progress.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6"/>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In closing, global perspectives on PBRC patents and SDG 7.1 reaffirm the importance of international cooperation in achieving a more sustainable, equitable, and energy-accessible future for all. The principles of openness, collaboration, and public benefit embodied in PBRC patents provide a pathway toward this shared objective, serving as a beacon of hope for a brighter and more sustainable world.</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8C0579" w:rsidRPr="00842337" w:rsidRDefault="008C0579" w:rsidP="008C0579">
      <w:pPr>
        <w:pStyle w:val="Titolo1"/>
        <w:rPr>
          <w:rFonts w:ascii="Times New Roman" w:hAnsi="Times New Roman" w:cs="Times New Roman"/>
          <w:lang w:val="en-US"/>
        </w:rPr>
      </w:pPr>
      <w:bookmarkStart w:id="85" w:name="_Toc148255248"/>
      <w:bookmarkStart w:id="86" w:name="_Toc148257139"/>
      <w:bookmarkStart w:id="87" w:name="_Toc149491250"/>
      <w:r w:rsidRPr="00842337">
        <w:rPr>
          <w:rFonts w:ascii="Times New Roman" w:hAnsi="Times New Roman" w:cs="Times New Roman"/>
          <w:lang w:val="en-US"/>
        </w:rPr>
        <w:lastRenderedPageBreak/>
        <w:t>Future Prospect</w:t>
      </w:r>
      <w:bookmarkEnd w:id="85"/>
      <w:bookmarkEnd w:id="86"/>
      <w:bookmarkEnd w:id="87"/>
    </w:p>
    <w:p w:rsidR="008C0579" w:rsidRPr="00842337" w:rsidRDefault="008C0579" w:rsidP="008C0579">
      <w:pPr>
        <w:rPr>
          <w:rFonts w:ascii="Times New Roman" w:hAnsi="Times New Roman" w:cs="Times New Roman"/>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i/>
          <w:iCs/>
          <w:sz w:val="24"/>
          <w:szCs w:val="24"/>
          <w:lang w:val="en-US"/>
        </w:rPr>
        <w:t>The future of sustainable energy holds immense promise, and the Photo Bio Reactor Continuous (PBRC) technology is poised to play a pivotal role in shaping this landscape. This chapter delves into the emerging trends, challenges, and opportunities in sustainable energy and PBRC technology, offering insights into the potential for PBRC to drive progress towards Sustainable Development Goal 7.1.</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Emerging Trends in Sustainable Energy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i/>
          <w:iCs/>
          <w:sz w:val="24"/>
          <w:szCs w:val="24"/>
          <w:lang w:val="en-US"/>
        </w:rPr>
        <w:t>Transition to Renewable Energy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global transition to renewable energy sources, such as solar, wind, and hydroelectric power, is gaining momentum. As governments, businesses, and individuals recognize the environmental and economic benefits of clean energy, the demand for innovative technologies like PBRC is on the rise.</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Energy Storage and Grid Integration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Effective energy storage solutions are essential to the stability and reliability of renewable energy sources. Innovations in energy storage technologies, including </w:t>
      </w:r>
      <w:r w:rsidRPr="00842337">
        <w:rPr>
          <w:rFonts w:ascii="Times New Roman" w:hAnsi="Times New Roman" w:cs="Times New Roman"/>
          <w:sz w:val="24"/>
          <w:szCs w:val="24"/>
          <w:lang w:val="en-US"/>
        </w:rPr>
        <w:lastRenderedPageBreak/>
        <w:t>advanced batteries and grid integration systems, are creating opportunities for more sustainable energy grids.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i/>
          <w:iCs/>
          <w:sz w:val="24"/>
          <w:szCs w:val="24"/>
          <w:lang w:val="en-US"/>
        </w:rPr>
        <w:t>Decentralization and Localized Energy Production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trend toward decentralized energy production, often in the form of microgrids and localized generation, is reducing the reliance on centralized power plants. This shift empowers communities and regions to produce and manage their energy more sustainably.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i/>
          <w:iCs/>
          <w:sz w:val="24"/>
          <w:szCs w:val="24"/>
          <w:lang w:val="en-US"/>
        </w:rPr>
        <w:t>Electrification and Sustainable Mobility</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electrification of various sectors, including transportation and heating, is a key strategy to reduce carbon emissions. Electric vehicles, heat pumps, and sustainable mobility solutions are becoming integral components of the clean energy transition.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The Potential of PBRC Technology</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Role in the Renewable Energy Portfolio</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PBRC technology holds immense potential within the renewable energy portfolio. Its unique ability to convert solar energy into biomass and biofuels complements existing renewable energy sources, offering an energy solution that is both sustainable and versatile.</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lastRenderedPageBreak/>
        <w:t>Carbon Capture and Utilization</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As concerns about climate change continue to grow, the capacity of PBRC technology to capture and utilize carbon dioxide from various sources positions it as a valuable tool in mitigating greenhouse gas emissions. By sequestering carbon and producing biomass, PBRC supports carbon-negative energy production.</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Resource Efficiency</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utilization of non-arable land and waste streams for PBRC systems exemplifies resource efficiency. This aspect aligns with circular economy principles, minimizing waste and maximizing resource use.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Research and Development Priorities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Microorganism Engineering and Optimization</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Continued research into the genetic engineering and optimization of microorganisms in PBRC systems is critical. Enhancing photosynthetic efficiency, nutrient utilization, and biomass production rates remains a priority.</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Scaling and Commercialization</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The scalability and cost-effectiveness of PBRC technology must be further improved. Research should focus on developing scalable and cost-efficient photobioreactor designs and processes.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Integration with Existing Energy Infrastructure</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Efforts to integrate PBRC technology with existing energy infrastructure, such as power grids and industrial processes, are crucial. Seamless integration can maximize the impact of PBRC on sustainable energy production.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Policy and Regulatory Considerations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Supportive Policy Frameworks</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Governments and international organizations should create supportive policy frameworks that encourage the development and deployment of PBRC technology. Incentives, subsidies, and regulatory support can stimulate innovation in the sustainable energy sector.</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Environmental Regulations</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sz w:val="24"/>
          <w:szCs w:val="24"/>
          <w:lang w:val="en-US"/>
        </w:rPr>
        <w:t>Stringent environmental regulations that promote sustainable and responsible practices in PBRC systems are essential. These regulations should consider the environmental impact and life cycle assessments of PBRC technology.</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lastRenderedPageBreak/>
        <w:t>Intellectual Property Rights and Licensing</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protection of intellectual property rights, while crucial, should be balanced with the need for knowledge sharing and open innovation. Patent policies should encourage licensing and collaboration to promote the widespread adoption of PBRC technology.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Challenges and Potential Solutions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Technological and Economic Challenges</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Challenges such as scaling, cost competitiveness, and energy efficiency need to be addressed. Collaborative research efforts and innovation in photobioreactor design are potential solutions.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Ethical and Social Considerations</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sz w:val="24"/>
          <w:szCs w:val="24"/>
          <w:lang w:val="en-US"/>
        </w:rPr>
        <w:t>Ethical dilemmas related to genetic modification, land use, and resource allocation must be carefully managed. Inclusive and transparent decision-making processes can help navigate these complexities.</w:t>
      </w:r>
    </w:p>
    <w:p w:rsidR="008C0579" w:rsidRPr="00842337" w:rsidRDefault="008C0579" w:rsidP="008C0579">
      <w:pPr>
        <w:jc w:val="both"/>
        <w:rPr>
          <w:rFonts w:ascii="Times New Roman" w:hAnsi="Times New Roman" w:cs="Times New Roman"/>
          <w:b/>
          <w:bCs/>
          <w:sz w:val="24"/>
          <w:szCs w:val="24"/>
          <w:lang w:val="en-US"/>
        </w:rPr>
      </w:pPr>
      <w:r w:rsidRPr="00842337">
        <w:rPr>
          <w:rFonts w:ascii="Times New Roman" w:hAnsi="Times New Roman" w:cs="Times New Roman"/>
          <w:b/>
          <w:bCs/>
          <w:i/>
          <w:iCs/>
          <w:sz w:val="24"/>
          <w:szCs w:val="24"/>
          <w:lang w:val="en-US"/>
        </w:rPr>
        <w:t>Public Awareness and Education</w:t>
      </w:r>
      <w:r w:rsidRPr="00842337">
        <w:rPr>
          <w:rFonts w:ascii="Times New Roman" w:hAnsi="Times New Roman" w:cs="Times New Roman"/>
          <w:b/>
          <w:bCs/>
          <w:sz w:val="24"/>
          <w:szCs w:val="24"/>
          <w:lang w:val="en-US"/>
        </w:rPr>
        <w:t>*</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Increasing public awareness and education about PBRC technology and its role in achieving SDG 7.1 is critical. </w:t>
      </w:r>
      <w:r w:rsidRPr="00842337">
        <w:rPr>
          <w:rFonts w:ascii="Times New Roman" w:hAnsi="Times New Roman" w:cs="Times New Roman"/>
          <w:sz w:val="24"/>
          <w:szCs w:val="24"/>
          <w:lang w:val="en-US"/>
        </w:rPr>
        <w:lastRenderedPageBreak/>
        <w:t>Outreach programs, educational initiatives, and communication strategies can bridge knowledge gaps.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Summary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future of sustainable energy is marked by an exciting array of possibilities and challenges. Emerging trends, including the transition to renewable energy, energy storage innovations, decentralized production, and sustainable mobility, are reshaping the energy landscape.</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this evolving context, PBRC technology stands as a versatile and environmentally responsible solution. Its unique ability to capture solar energy and convert it into biomass and biofuels holds promise for the attainment of Sustainable Development Goal 7.1.</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As PBRC technology matures, research and development priorities will continue to shape its trajectory. Genetic engineering, scaling, and integration with existing energy infrastructure are key areas of focus. Moreover, policy and regulatory considerations, including supportive frameworks, environmental regulations, and intellectual property rights, will influence the adoption and deployment of PBRC.</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However, the path forward is not without challenges. Technological and economic obstacles, ethical and social </w:t>
      </w:r>
      <w:r w:rsidRPr="00842337">
        <w:rPr>
          <w:rFonts w:ascii="Times New Roman" w:hAnsi="Times New Roman" w:cs="Times New Roman"/>
          <w:sz w:val="24"/>
          <w:szCs w:val="24"/>
          <w:lang w:val="en-US"/>
        </w:rPr>
        <w:lastRenderedPageBreak/>
        <w:t>considerations, and the need for public awareness all demand attention. By addressing these challenges and leveraging the opportunities presented by PBRC, the global community can progress toward the ambitious goal of universal access to affordable, reliable, sustainable, and modern energy. In the subsequent chapters, we will explore real-world case studies and initiatives that exemplify the role of PBRC in sustainable energy and its potential impact on SDG 7.1.</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 our journey through the pages of this book, we've delved into the critical intersection of Sustainable Development Goal (SDG) 7.1 and the innovative principles of   PBRC (Just, Wide, and Timely – Public Benefit, Royalty-Free, and Collaborative) patents. From exploring the global significance of clean, affordable, and reliable energy access to examining practical case studies and success stories, we've charted a path toward a more sustainable and equitable energy future. As we draw our exploration to a close, this final chapter serves as a summation of the key takeaways and a call to action for individuals, communities, organizations, and nations committed to achieving SDG 7.1.</w:t>
      </w:r>
    </w:p>
    <w:p w:rsidR="008C0579" w:rsidRPr="00842337" w:rsidRDefault="008C0579" w:rsidP="008C0579">
      <w:pPr>
        <w:jc w:val="both"/>
        <w:rPr>
          <w:rFonts w:ascii="Times New Roman" w:hAnsi="Times New Roman" w:cs="Times New Roman"/>
          <w:sz w:val="24"/>
          <w:szCs w:val="24"/>
        </w:rPr>
      </w:pPr>
      <w:r w:rsidRPr="00842337">
        <w:rPr>
          <w:rFonts w:ascii="Times New Roman" w:hAnsi="Times New Roman" w:cs="Times New Roman"/>
          <w:sz w:val="24"/>
          <w:szCs w:val="24"/>
        </w:rPr>
        <w:t>Chapter 14</w:t>
      </w:r>
    </w:p>
    <w:p w:rsidR="008C0579" w:rsidRPr="00842337" w:rsidRDefault="008C0579" w:rsidP="008C0579">
      <w:pPr>
        <w:pStyle w:val="Titolo1"/>
        <w:rPr>
          <w:rFonts w:ascii="Times New Roman" w:hAnsi="Times New Roman" w:cs="Times New Roman"/>
        </w:rPr>
      </w:pPr>
      <w:bookmarkStart w:id="88" w:name="_Toc148257140"/>
      <w:bookmarkStart w:id="89" w:name="_Toc149491251"/>
      <w:r w:rsidRPr="00842337">
        <w:rPr>
          <w:rFonts w:ascii="Times New Roman" w:hAnsi="Times New Roman" w:cs="Times New Roman"/>
        </w:rPr>
        <w:lastRenderedPageBreak/>
        <w:t>Summary</w:t>
      </w:r>
      <w:bookmarkEnd w:id="88"/>
      <w:bookmarkEnd w:id="89"/>
    </w:p>
    <w:p w:rsidR="008C0579" w:rsidRPr="00842337" w:rsidRDefault="008C0579" w:rsidP="008C0579">
      <w:pPr>
        <w:rPr>
          <w:rFonts w:ascii="Times New Roman" w:hAnsi="Times New Roman" w:cs="Times New Roman"/>
        </w:rPr>
      </w:pP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SDG 7.1 Vision:</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SDG 7.1 expresses a fundamental vision: a society in which everyone, regardless of geographical location or socioeconomic background, has access to clean, affordable, and reliable energy. This vision includes not only the supply of energy, but also the transformative potential it offers to education, health, economic growth, and overall quality of life. The attainment of this goal is critical to tackling a slew of other long-term development goals, making it a lynchpin for global advancement.</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Function of  PBRC Patents: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 PBRC patents provide a new approach that is consistent with SDG 7.1 concepts. These patents focus on public benefit, reduce financial barriers, and promote collaboration, creating an environment suited to tackling energy access concerns. The core ideas of these patents are open access to renewable energy technologies, information sharing, and cost.</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Throughout this book, success stories and case studies demonstrate the transformative value of PBRC patents in advancing energy access. We've seen how these ideas can drive genuine change, improve lives, and contribute to a more sustainable future, from Bangladesh's solar revolution to Pakistan's energy transition and beyond.</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Global Significance of SDG 7.1</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SDG 7.1 is not confined to any one nation or region; it is a universal imperative. Achieving universal and sustainable energy access is a shared responsibility among all nations. The principles of equity and sustainability embedded in this goal underscore its global relevance. Global perspectives on SDG 7.1 emphasize the interconnectedness of energy access with broader social, economic, and environmental goals.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international community has pledged to leave no one behind, ensuring that energy access extends to marginalized and underserved communities worldwide. The shared vision is a world where clean energy is accessible to all, transcending borders and barriers.</w:t>
      </w: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Next Steps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As we consider the next steps, it is critical to remember that the journey toward SDG 7.1 is continuing. There are still obstacles and challenges, but they are not insurmountable.  PBRC patent principles, along with the commitment of individuals, communities, organizations, and governments, have the potential to make this vision a reality.</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way forward entails sustained innovation, collaboration, and a firm commitment to public benefit principles. As demonstrated by the case studies and initiatives, these principles support the creation and distribution of sustainable energy solutions on a worldwide scale by providing a dynamic and open approach to innovation and collaboration.</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b/>
          <w:bCs/>
          <w:sz w:val="24"/>
          <w:szCs w:val="24"/>
        </w:rPr>
      </w:pPr>
      <w:r w:rsidRPr="00842337">
        <w:rPr>
          <w:rFonts w:ascii="Times New Roman" w:hAnsi="Times New Roman" w:cs="Times New Roman"/>
          <w:b/>
          <w:bCs/>
          <w:sz w:val="24"/>
          <w:szCs w:val="24"/>
        </w:rPr>
        <w:t>The call to action is unequivocal</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Collaborate: Embrace the principles of collaboration and knowledge sharing. Collaborate across borders, sectors, and disciplines to expedite the development and deployment of clean energy solutions.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Innovate:</w:t>
      </w:r>
      <w:r w:rsidRPr="00842337">
        <w:rPr>
          <w:rFonts w:ascii="Times New Roman" w:hAnsi="Times New Roman" w:cs="Times New Roman"/>
          <w:sz w:val="24"/>
          <w:szCs w:val="24"/>
          <w:lang w:val="en-US"/>
        </w:rPr>
        <w:t xml:space="preserve"> Invest in innovation and technology. Explore emerging solutions and technologies, such as renewable </w:t>
      </w:r>
      <w:r w:rsidRPr="00842337">
        <w:rPr>
          <w:rFonts w:ascii="Times New Roman" w:hAnsi="Times New Roman" w:cs="Times New Roman"/>
          <w:sz w:val="24"/>
          <w:szCs w:val="24"/>
          <w:lang w:val="en-US"/>
        </w:rPr>
        <w:lastRenderedPageBreak/>
        <w:t>energy, energy storage, and digitalization, to address energy access challenges.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Support:</w:t>
      </w:r>
      <w:r w:rsidRPr="00842337">
        <w:rPr>
          <w:rFonts w:ascii="Times New Roman" w:hAnsi="Times New Roman" w:cs="Times New Roman"/>
          <w:sz w:val="24"/>
          <w:szCs w:val="24"/>
          <w:lang w:val="en-US"/>
        </w:rPr>
        <w:t xml:space="preserve"> Encourage public and private sector support for energy access initiatives. Leverage innovative financing models and international partnerships to fund projects that bring clean energy to underserved communities.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Advocate</w:t>
      </w:r>
      <w:r w:rsidRPr="00842337">
        <w:rPr>
          <w:rFonts w:ascii="Times New Roman" w:hAnsi="Times New Roman" w:cs="Times New Roman"/>
          <w:sz w:val="24"/>
          <w:szCs w:val="24"/>
          <w:lang w:val="en-US"/>
        </w:rPr>
        <w:t>: Raise awareness and advocate for the importance of universal energy access. Engage with local, national, and international policymakers to prioritize clean and sustainable energy access.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Measure Progress:</w:t>
      </w:r>
      <w:r w:rsidRPr="00842337">
        <w:rPr>
          <w:rFonts w:ascii="Times New Roman" w:hAnsi="Times New Roman" w:cs="Times New Roman"/>
          <w:sz w:val="24"/>
          <w:szCs w:val="24"/>
          <w:lang w:val="en-US"/>
        </w:rPr>
        <w:t xml:space="preserve"> Establish robust monitoring and evaluation mechanisms to track progress. Ensure that initiatives are data-driven and adapt as needed to stay on course.</w:t>
      </w:r>
    </w:p>
    <w:p w:rsidR="008C0579" w:rsidRPr="00842337" w:rsidRDefault="008C0579" w:rsidP="008C0579">
      <w:pPr>
        <w:jc w:val="both"/>
        <w:rPr>
          <w:rFonts w:ascii="Times New Roman" w:hAnsi="Times New Roman" w:cs="Times New Roman"/>
          <w:b/>
          <w:bCs/>
          <w:sz w:val="24"/>
          <w:szCs w:val="24"/>
        </w:rPr>
      </w:pPr>
      <w:r w:rsidRPr="00842337">
        <w:rPr>
          <w:rFonts w:ascii="Times New Roman" w:hAnsi="Times New Roman" w:cs="Times New Roman"/>
          <w:b/>
          <w:bCs/>
          <w:sz w:val="24"/>
          <w:szCs w:val="24"/>
        </w:rPr>
        <w:t>Summary:</w:t>
      </w: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In concluding this publication, it is important to acknowledge the existence of significant challenges but also to recognize the potential for innovation and collaboration. The shared aspiration is for a future that is both brighter and more sustainable, where clean, affordable, and dependable energy is accessible to all. As </w:t>
      </w:r>
      <w:r w:rsidRPr="00842337">
        <w:rPr>
          <w:rFonts w:ascii="Times New Roman" w:hAnsi="Times New Roman" w:cs="Times New Roman"/>
          <w:sz w:val="24"/>
          <w:szCs w:val="24"/>
        </w:rPr>
        <w:lastRenderedPageBreak/>
        <w:t>individuals, communities, organizations, and nations come together in pursuit of this vision, the journey towards achieving SDG 7.1 becomes a collective endeavor, underpinned by a commitment to inclusivity.</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The principles of  PBRC patents and the universal significance of SDG 7.1 provide hope and inspiration for the path that lies ahead. The accounts of transformation and success serve as evidence of the transformative power of innovation, collaboration, and open access in addressing the challenges related to energy access.</w:t>
      </w:r>
    </w:p>
    <w:p w:rsidR="008C0579" w:rsidRPr="00842337" w:rsidRDefault="008C0579" w:rsidP="008C0579">
      <w:pPr>
        <w:jc w:val="both"/>
        <w:rPr>
          <w:rFonts w:ascii="Times New Roman" w:hAnsi="Times New Roman" w:cs="Times New Roman"/>
          <w:sz w:val="24"/>
          <w:szCs w:val="24"/>
          <w:lang w:val="en-US"/>
        </w:rPr>
      </w:pPr>
    </w:p>
    <w:p w:rsidR="008C0579" w:rsidRPr="00842337" w:rsidRDefault="008C0579" w:rsidP="008C0579">
      <w:pPr>
        <w:pStyle w:val="Paragrafoelenco"/>
        <w:numPr>
          <w:ilvl w:val="0"/>
          <w:numId w:val="37"/>
        </w:numPr>
        <w:spacing w:line="360" w:lineRule="auto"/>
        <w:ind w:left="0"/>
        <w:jc w:val="both"/>
        <w:rPr>
          <w:rFonts w:ascii="Times New Roman" w:hAnsi="Times New Roman" w:cs="Times New Roman"/>
          <w:sz w:val="24"/>
          <w:szCs w:val="24"/>
        </w:rPr>
      </w:pPr>
      <w:r w:rsidRPr="00842337">
        <w:rPr>
          <w:rFonts w:ascii="Times New Roman" w:hAnsi="Times New Roman" w:cs="Times New Roman"/>
          <w:sz w:val="24"/>
          <w:szCs w:val="24"/>
        </w:rPr>
        <w:t xml:space="preserve">As we conclude this publication, we assure you that the journey continues and the vision of universal and sustainable energy access remains unwavering. The principles and narratives presented here are not mere words on paper, but a call to action. Through collaborative efforts, we can turn this vision into a reality, creating a world where clean, affordable, and reliable energy is </w:t>
      </w:r>
      <w:r w:rsidRPr="00842337">
        <w:rPr>
          <w:rFonts w:ascii="Times New Roman" w:hAnsi="Times New Roman" w:cs="Times New Roman"/>
          <w:sz w:val="24"/>
          <w:szCs w:val="24"/>
        </w:rPr>
        <w:lastRenderedPageBreak/>
        <w:t>accessible to all, thereby bringing us closer to a brighter and more sustainable future for future generations.</w:t>
      </w:r>
    </w:p>
    <w:p w:rsidR="008C0579" w:rsidRPr="00842337" w:rsidRDefault="008C0579" w:rsidP="008C0579">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D5B77" w:rsidRPr="00842337" w:rsidRDefault="005D5B77">
      <w:pPr>
        <w:rPr>
          <w:rFonts w:ascii="Times New Roman" w:hAnsi="Times New Roman" w:cs="Times New Roman"/>
          <w:sz w:val="24"/>
          <w:szCs w:val="24"/>
          <w:lang w:val="en-US"/>
        </w:rPr>
      </w:pPr>
    </w:p>
    <w:p w:rsidR="00557436" w:rsidRPr="00842337" w:rsidRDefault="00557436" w:rsidP="00557436">
      <w:pPr>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57436" w:rsidRPr="00842337" w:rsidRDefault="00557436" w:rsidP="00557436">
      <w:pPr>
        <w:pStyle w:val="Heading1"/>
        <w:ind w:left="0"/>
        <w:jc w:val="right"/>
        <w:rPr>
          <w:lang w:val="en-US"/>
        </w:rPr>
      </w:pPr>
      <w:bookmarkStart w:id="90" w:name="_Toc149491252"/>
      <w:r w:rsidRPr="00842337">
        <w:rPr>
          <w:color w:val="FFFF00"/>
          <w:lang w:val="en-US"/>
        </w:rPr>
        <w:lastRenderedPageBreak/>
        <w:t xml:space="preserve">J </w:t>
      </w:r>
      <w:r w:rsidRPr="00842337">
        <w:rPr>
          <w:color w:val="0000FF"/>
          <w:lang w:val="en-US"/>
        </w:rPr>
        <w:t xml:space="preserve">W </w:t>
      </w:r>
      <w:r w:rsidRPr="00842337">
        <w:rPr>
          <w:color w:val="007F00"/>
          <w:lang w:val="en-US"/>
        </w:rPr>
        <w:t>T</w:t>
      </w:r>
      <w:bookmarkEnd w:id="90"/>
    </w:p>
    <w:p w:rsidR="00557436" w:rsidRPr="00842337" w:rsidRDefault="00562939" w:rsidP="00557436">
      <w:pPr>
        <w:pStyle w:val="Heading3"/>
        <w:ind w:left="0"/>
        <w:jc w:val="right"/>
        <w:rPr>
          <w:b w:val="0"/>
          <w:lang w:val="en-US"/>
        </w:rPr>
      </w:pPr>
      <w:hyperlink r:id="rId8" w:history="1">
        <w:r w:rsidR="00557436" w:rsidRPr="00842337">
          <w:rPr>
            <w:rStyle w:val="Enfasigrassetto"/>
            <w:b/>
            <w:iCs w:val="0"/>
            <w:color w:val="0000FF"/>
            <w:u w:val="single"/>
            <w:lang w:val="en-US"/>
          </w:rPr>
          <w:t>joules</w:t>
        </w:r>
      </w:hyperlink>
      <w:r w:rsidR="00557436" w:rsidRPr="00842337">
        <w:rPr>
          <w:b w:val="0"/>
          <w:lang w:val="en-US"/>
        </w:rPr>
        <w:t xml:space="preserve"> </w:t>
      </w:r>
      <w:hyperlink r:id="rId9" w:history="1">
        <w:r w:rsidR="00557436" w:rsidRPr="00842337">
          <w:rPr>
            <w:rStyle w:val="Enfasigrassetto"/>
            <w:b/>
            <w:iCs w:val="0"/>
            <w:color w:val="0000FF"/>
            <w:u w:val="single"/>
            <w:lang w:val="en-US"/>
          </w:rPr>
          <w:t xml:space="preserve"> </w:t>
        </w:r>
      </w:hyperlink>
      <w:hyperlink r:id="rId10" w:history="1">
        <w:r w:rsidR="00557436" w:rsidRPr="00842337">
          <w:rPr>
            <w:rStyle w:val="Enfasigrassetto"/>
            <w:b/>
            <w:iCs w:val="0"/>
            <w:color w:val="0000FF"/>
            <w:u w:val="single"/>
            <w:lang w:val="en-US"/>
          </w:rPr>
          <w:t>water  team</w:t>
        </w:r>
      </w:hyperlink>
    </w:p>
    <w:p w:rsidR="00557436" w:rsidRPr="00842337" w:rsidRDefault="00562939" w:rsidP="00557436">
      <w:pPr>
        <w:spacing w:before="1"/>
        <w:jc w:val="right"/>
        <w:rPr>
          <w:rFonts w:ascii="Times New Roman" w:hAnsi="Times New Roman" w:cs="Times New Roman"/>
          <w:sz w:val="24"/>
          <w:szCs w:val="24"/>
          <w:lang w:val="en-US"/>
        </w:rPr>
      </w:pPr>
      <w:hyperlink r:id="rId11" w:history="1">
        <w:r w:rsidR="00557436" w:rsidRPr="00842337">
          <w:rPr>
            <w:rStyle w:val="Collegamentoipertestuale"/>
            <w:rFonts w:ascii="Times New Roman" w:hAnsi="Times New Roman" w:cs="Times New Roman"/>
            <w:b/>
            <w:i/>
            <w:sz w:val="24"/>
            <w:szCs w:val="24"/>
            <w:lang w:val="en-US"/>
          </w:rPr>
          <w:t>https://www.jwt-jwt.it/</w:t>
        </w:r>
      </w:hyperlink>
    </w:p>
    <w:p w:rsidR="00557436" w:rsidRPr="00842337" w:rsidRDefault="00557436" w:rsidP="00557436">
      <w:pPr>
        <w:pStyle w:val="Corpodeltesto"/>
        <w:spacing w:before="2"/>
        <w:rPr>
          <w:b/>
          <w:sz w:val="24"/>
          <w:lang w:val="en-US"/>
        </w:rPr>
      </w:pPr>
    </w:p>
    <w:p w:rsidR="00557436" w:rsidRPr="00842337" w:rsidRDefault="00557436" w:rsidP="00557436">
      <w:pPr>
        <w:pStyle w:val="Corpodeltesto"/>
        <w:spacing w:before="2"/>
        <w:rPr>
          <w:b/>
          <w:sz w:val="24"/>
          <w:lang w:val="en-US"/>
        </w:rPr>
      </w:pPr>
      <w:r w:rsidRPr="00842337">
        <w:rPr>
          <w:b/>
          <w:sz w:val="24"/>
          <w:lang w:val="en-US"/>
        </w:rPr>
        <w:t>Subject to the NDA, consultancy and appropriate industrial property rights are available;</w:t>
      </w:r>
    </w:p>
    <w:p w:rsidR="00557436" w:rsidRPr="00842337" w:rsidRDefault="00557436" w:rsidP="00557436">
      <w:pPr>
        <w:pStyle w:val="Corpodeltesto"/>
        <w:spacing w:before="2"/>
        <w:rPr>
          <w:b/>
          <w:sz w:val="24"/>
          <w:lang w:val="en-US"/>
        </w:rPr>
      </w:pPr>
    </w:p>
    <w:p w:rsidR="00557436" w:rsidRPr="00842337" w:rsidRDefault="00557436" w:rsidP="00557436">
      <w:pPr>
        <w:pStyle w:val="Corpodeltesto"/>
        <w:spacing w:before="2"/>
        <w:rPr>
          <w:sz w:val="24"/>
          <w:lang w:val="en-US"/>
        </w:rPr>
      </w:pPr>
    </w:p>
    <w:p w:rsidR="00557436" w:rsidRPr="00842337" w:rsidRDefault="00557436" w:rsidP="00557436">
      <w:pPr>
        <w:pStyle w:val="Corpodeltesto"/>
        <w:spacing w:before="2"/>
        <w:rPr>
          <w:sz w:val="24"/>
          <w:lang w:val="en-US"/>
        </w:rPr>
      </w:pPr>
      <w:r w:rsidRPr="00842337">
        <w:rPr>
          <w:sz w:val="24"/>
          <w:lang w:val="en-US"/>
        </w:rPr>
        <w:t xml:space="preserve">( </w:t>
      </w:r>
      <w:hyperlink r:id="rId12" w:history="1">
        <w:r w:rsidRPr="00842337">
          <w:rPr>
            <w:rStyle w:val="Enfasigrassetto"/>
            <w:sz w:val="24"/>
            <w:lang w:val="en-US"/>
          </w:rPr>
          <w:t xml:space="preserve">INNOVATION </w:t>
        </w:r>
      </w:hyperlink>
      <w:r w:rsidRPr="00842337">
        <w:rPr>
          <w:rStyle w:val="tlid-translation"/>
          <w:color w:val="0000FF"/>
          <w:sz w:val="24"/>
          <w:lang w:val="en-US"/>
        </w:rPr>
        <w:t xml:space="preserve">- </w:t>
      </w:r>
      <w:hyperlink r:id="rId13" w:history="1">
        <w:r w:rsidRPr="00842337">
          <w:rPr>
            <w:rStyle w:val="Collegamentoipertestuale"/>
            <w:sz w:val="24"/>
            <w:lang w:val="en-US"/>
          </w:rPr>
          <w:t xml:space="preserve">Patents and Projects, with relevant BPs </w:t>
        </w:r>
      </w:hyperlink>
      <w:hyperlink r:id="rId14" w:history="1">
        <w:r w:rsidRPr="00842337">
          <w:rPr>
            <w:rStyle w:val="Collegamentoipertestuale"/>
            <w:sz w:val="24"/>
            <w:lang w:val="en-US"/>
          </w:rPr>
          <w:t xml:space="preserve">and </w:t>
        </w:r>
      </w:hyperlink>
      <w:hyperlink r:id="rId15" w:history="1">
        <w:r w:rsidRPr="00842337">
          <w:rPr>
            <w:rStyle w:val="Collegamentoipertestuale"/>
            <w:sz w:val="24"/>
            <w:lang w:val="en-US"/>
          </w:rPr>
          <w:t>StartKit</w:t>
        </w:r>
      </w:hyperlink>
      <w:hyperlink r:id="rId16" w:history="1">
        <w:r w:rsidRPr="00842337">
          <w:rPr>
            <w:rStyle w:val="Collegamentoipertestuale"/>
            <w:sz w:val="24"/>
            <w:lang w:val="en-US"/>
          </w:rPr>
          <w:t xml:space="preserve"> </w:t>
        </w:r>
      </w:hyperlink>
      <w:hyperlink r:id="rId17" w:history="1">
        <w:r w:rsidRPr="00842337">
          <w:rPr>
            <w:rStyle w:val="Collegamentoipertestuale"/>
            <w:sz w:val="24"/>
            <w:lang w:val="en-US"/>
          </w:rPr>
          <w:t xml:space="preserve">Commercial Offers </w:t>
        </w:r>
      </w:hyperlink>
      <w:r w:rsidRPr="00842337">
        <w:rPr>
          <w:sz w:val="24"/>
          <w:lang w:val="en-US"/>
        </w:rPr>
        <w:t xml:space="preserve"> )</w:t>
      </w:r>
    </w:p>
    <w:p w:rsidR="00557436" w:rsidRPr="00842337" w:rsidRDefault="00557436" w:rsidP="00557436">
      <w:pPr>
        <w:pStyle w:val="Corpodeltesto"/>
        <w:spacing w:before="2"/>
        <w:rPr>
          <w:sz w:val="24"/>
          <w:lang w:val="en-US"/>
        </w:rPr>
      </w:pPr>
    </w:p>
    <w:p w:rsidR="00557436" w:rsidRPr="00842337" w:rsidRDefault="00557436" w:rsidP="00557436">
      <w:pPr>
        <w:pStyle w:val="Corpodeltesto"/>
        <w:spacing w:before="2"/>
        <w:rPr>
          <w:rStyle w:val="Enfasigrassetto"/>
          <w:sz w:val="24"/>
          <w:lang w:val="en-US"/>
        </w:rPr>
      </w:pPr>
    </w:p>
    <w:p w:rsidR="00557436" w:rsidRPr="00842337" w:rsidRDefault="00557436" w:rsidP="00557436">
      <w:pPr>
        <w:pStyle w:val="Corpodeltesto"/>
        <w:spacing w:before="2"/>
        <w:rPr>
          <w:rStyle w:val="Enfasigrassetto"/>
          <w:sz w:val="24"/>
          <w:lang w:val="en-US"/>
        </w:rPr>
      </w:pPr>
      <w:r w:rsidRPr="00842337">
        <w:rPr>
          <w:rStyle w:val="Enfasigrassetto"/>
          <w:sz w:val="24"/>
          <w:lang w:val="en-US"/>
        </w:rPr>
        <w:t xml:space="preserve">JWTeam </w:t>
      </w:r>
    </w:p>
    <w:p w:rsidR="00557436" w:rsidRPr="00842337" w:rsidRDefault="00557436" w:rsidP="00557436">
      <w:pPr>
        <w:pStyle w:val="Corpodeltesto"/>
        <w:spacing w:before="2"/>
        <w:rPr>
          <w:rStyle w:val="Enfasigrassetto"/>
          <w:sz w:val="24"/>
          <w:lang w:val="en-US"/>
        </w:rPr>
      </w:pPr>
    </w:p>
    <w:p w:rsidR="00557436" w:rsidRPr="00842337" w:rsidRDefault="00562939" w:rsidP="00557436">
      <w:pPr>
        <w:pStyle w:val="Corpodeltesto"/>
        <w:spacing w:before="2"/>
        <w:rPr>
          <w:sz w:val="24"/>
          <w:lang w:val="en-US"/>
        </w:rPr>
      </w:pPr>
      <w:hyperlink r:id="rId18" w:history="1">
        <w:r w:rsidR="00557436" w:rsidRPr="00842337">
          <w:rPr>
            <w:rStyle w:val="Collegamentoipertestuale"/>
            <w:sz w:val="24"/>
            <w:lang w:val="en-US"/>
          </w:rPr>
          <w:t>http://www.expotv1.com/ESCP_NUT_Team.pdf</w:t>
        </w:r>
      </w:hyperlink>
    </w:p>
    <w:p w:rsidR="00557436" w:rsidRPr="00842337" w:rsidRDefault="00557436" w:rsidP="00557436">
      <w:pPr>
        <w:pStyle w:val="Corpodeltesto"/>
        <w:spacing w:before="2"/>
        <w:rPr>
          <w:rStyle w:val="rynqvb"/>
          <w:i/>
          <w:sz w:val="24"/>
          <w:lang w:val="en-US"/>
        </w:rPr>
      </w:pPr>
      <w:r w:rsidRPr="00842337">
        <w:rPr>
          <w:i/>
          <w:sz w:val="24"/>
          <w:lang w:val="en-US"/>
        </w:rPr>
        <w:t xml:space="preserve">Offers extensive support on </w:t>
      </w:r>
      <w:r w:rsidRPr="00842337">
        <w:rPr>
          <w:b/>
          <w:i/>
          <w:color w:val="0070C0"/>
          <w:sz w:val="24"/>
          <w:lang w:val="en-US"/>
        </w:rPr>
        <w:t xml:space="preserve">Energy </w:t>
      </w:r>
      <w:r w:rsidRPr="00842337">
        <w:rPr>
          <w:i/>
          <w:sz w:val="24"/>
          <w:lang w:val="en-US"/>
        </w:rPr>
        <w:t xml:space="preserve">and </w:t>
      </w:r>
      <w:r w:rsidRPr="00842337">
        <w:rPr>
          <w:b/>
          <w:i/>
          <w:color w:val="0070C0"/>
          <w:sz w:val="24"/>
          <w:lang w:val="en-US"/>
        </w:rPr>
        <w:t xml:space="preserve">Water Cycle, </w:t>
      </w:r>
      <w:r w:rsidRPr="00842337">
        <w:rPr>
          <w:i/>
          <w:sz w:val="24"/>
          <w:lang w:val="en-US"/>
        </w:rPr>
        <w:t xml:space="preserve">verse  </w:t>
      </w:r>
      <w:hyperlink r:id="rId19" w:history="1">
        <w:r w:rsidRPr="00842337">
          <w:rPr>
            <w:rStyle w:val="Enfasicorsivo"/>
            <w:b/>
            <w:bCs/>
            <w:color w:val="008000"/>
            <w:sz w:val="24"/>
            <w:u w:val="single"/>
            <w:lang w:val="en-US"/>
          </w:rPr>
          <w:t xml:space="preserve">IP_S </w:t>
        </w:r>
      </w:hyperlink>
      <w:hyperlink r:id="rId20" w:history="1">
        <w:r w:rsidRPr="00842337">
          <w:rPr>
            <w:rStyle w:val="Enfasicorsivo"/>
            <w:b/>
            <w:bCs/>
            <w:color w:val="008000"/>
            <w:sz w:val="24"/>
            <w:u w:val="single"/>
            <w:lang w:val="en-US"/>
          </w:rPr>
          <w:t xml:space="preserve">DGs </w:t>
        </w:r>
      </w:hyperlink>
      <w:hyperlink r:id="rId21" w:history="1">
        <w:r w:rsidRPr="00842337">
          <w:rPr>
            <w:rStyle w:val="Enfasicorsivo"/>
            <w:b/>
            <w:bCs/>
            <w:color w:val="008000"/>
            <w:sz w:val="24"/>
            <w:u w:val="single"/>
            <w:lang w:val="en-US"/>
          </w:rPr>
          <w:t>/UN</w:t>
        </w:r>
      </w:hyperlink>
    </w:p>
    <w:p w:rsidR="00557436" w:rsidRPr="00842337" w:rsidRDefault="00557436" w:rsidP="00557436">
      <w:pPr>
        <w:jc w:val="both"/>
        <w:rPr>
          <w:rStyle w:val="rynqvb"/>
          <w:rFonts w:ascii="Times New Roman" w:hAnsi="Times New Roman" w:cs="Times New Roman"/>
          <w:b/>
          <w:sz w:val="24"/>
          <w:szCs w:val="24"/>
          <w:lang w:val="en-US"/>
        </w:rPr>
      </w:pPr>
    </w:p>
    <w:p w:rsidR="00557436" w:rsidRPr="00842337" w:rsidRDefault="00557436" w:rsidP="00557436">
      <w:pPr>
        <w:pStyle w:val="Titolo1"/>
        <w:rPr>
          <w:rStyle w:val="rynqvb"/>
          <w:rFonts w:ascii="Times New Roman" w:hAnsi="Times New Roman" w:cs="Times New Roman"/>
          <w:sz w:val="24"/>
          <w:szCs w:val="24"/>
          <w:lang w:val="en-US"/>
        </w:rPr>
      </w:pPr>
      <w:bookmarkStart w:id="91" w:name="_Toc149491253"/>
      <w:r w:rsidRPr="00842337">
        <w:rPr>
          <w:rStyle w:val="rynqvb"/>
          <w:rFonts w:ascii="Times New Roman" w:hAnsi="Times New Roman" w:cs="Times New Roman"/>
          <w:sz w:val="24"/>
          <w:szCs w:val="24"/>
          <w:lang w:val="en-US"/>
        </w:rPr>
        <w:t>Bibliography/Conclusion</w:t>
      </w:r>
      <w:bookmarkEnd w:id="91"/>
    </w:p>
    <w:p w:rsidR="00557436" w:rsidRPr="00842337" w:rsidRDefault="00557436" w:rsidP="00557436">
      <w:pPr>
        <w:rPr>
          <w:rFonts w:ascii="Times New Roman" w:hAnsi="Times New Roman" w:cs="Times New Roman"/>
          <w:lang w:val="en-US"/>
        </w:rPr>
      </w:pPr>
    </w:p>
    <w:p w:rsidR="00557436" w:rsidRPr="00842337" w:rsidRDefault="00557436" w:rsidP="00557436">
      <w:pPr>
        <w:jc w:val="both"/>
        <w:rPr>
          <w:rStyle w:val="rynqvb"/>
          <w:rFonts w:ascii="Times New Roman" w:hAnsi="Times New Roman" w:cs="Times New Roman"/>
          <w:sz w:val="24"/>
          <w:szCs w:val="24"/>
          <w:lang w:val="en-US"/>
        </w:rPr>
      </w:pPr>
      <w:r w:rsidRPr="00842337">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 texts). The Owners/Inventors of the Editorial rights on the source </w:t>
      </w:r>
      <w:r w:rsidRPr="00842337">
        <w:rPr>
          <w:rStyle w:val="rynqvb"/>
          <w:rFonts w:ascii="Times New Roman" w:hAnsi="Times New Roman" w:cs="Times New Roman"/>
          <w:sz w:val="24"/>
          <w:szCs w:val="24"/>
          <w:lang w:val="en-US"/>
        </w:rPr>
        <w:lastRenderedPageBreak/>
        <w:t xml:space="preserve">Intellectual Property believe the contents do not misrepresent the essential objectives, which are expressed below, but above all in the official sources cited in the bibliographies. Patents are archived, granted and owned by authors who have issued the necessary editorial permissions. Each patent is well founded (legitimized by the relevant national legal bodies: UIBM/IT, EPO/EU, WIPO/UN, EAPO/RU, CNIPA/CN, InPASS/IN), understandable to professionals, and implementable according to the rights granted promptly; </w:t>
      </w:r>
      <w:hyperlink r:id="rId22" w:history="1">
        <w:r w:rsidRPr="00842337">
          <w:rPr>
            <w:rStyle w:val="Collegamentoipertestuale"/>
            <w:rFonts w:ascii="Times New Roman" w:hAnsi="Times New Roman" w:cs="Times New Roman"/>
            <w:b/>
            <w:sz w:val="24"/>
            <w:szCs w:val="24"/>
            <w:lang w:val="en-US"/>
          </w:rPr>
          <w:t>JWTeam</w:t>
        </w:r>
      </w:hyperlink>
      <w:r w:rsidRPr="00842337">
        <w:rPr>
          <w:rStyle w:val="rynqvb"/>
          <w:rFonts w:ascii="Times New Roman" w:hAnsi="Times New Roman" w:cs="Times New Roman"/>
          <w:sz w:val="24"/>
          <w:szCs w:val="24"/>
          <w:lang w:val="en-US"/>
        </w:rPr>
        <w:t xml:space="preserve"> reviews and oversees the dissemination of </w:t>
      </w:r>
      <w:hyperlink r:id="rId23" w:history="1">
        <w:r w:rsidRPr="00842337">
          <w:rPr>
            <w:rStyle w:val="Collegamentoipertestuale"/>
            <w:rFonts w:ascii="Times New Roman" w:hAnsi="Times New Roman" w:cs="Times New Roman"/>
            <w:b/>
            <w:sz w:val="24"/>
            <w:szCs w:val="24"/>
            <w:lang w:val="en-US"/>
          </w:rPr>
          <w:t>SDGs/UN</w:t>
        </w:r>
      </w:hyperlink>
      <w:r w:rsidRPr="00842337">
        <w:rPr>
          <w:rStyle w:val="rynqvb"/>
          <w:rFonts w:ascii="Times New Roman" w:hAnsi="Times New Roman" w:cs="Times New Roman"/>
          <w:sz w:val="24"/>
          <w:szCs w:val="24"/>
          <w:lang w:val="en-US"/>
        </w:rPr>
        <w:t>, pronouncing itself with the pseudonym "</w:t>
      </w:r>
      <w:r w:rsidRPr="00842337">
        <w:rPr>
          <w:rStyle w:val="rynqvb"/>
          <w:rFonts w:ascii="Times New Roman" w:hAnsi="Times New Roman" w:cs="Times New Roman"/>
          <w:b/>
          <w:color w:val="00B050"/>
          <w:sz w:val="24"/>
          <w:szCs w:val="24"/>
          <w:lang w:val="en-US"/>
        </w:rPr>
        <w:t>Ghost GREEN</w:t>
      </w:r>
      <w:r w:rsidRPr="00842337">
        <w:rPr>
          <w:rStyle w:val="rynqvb"/>
          <w:rFonts w:ascii="Times New Roman" w:hAnsi="Times New Roman" w:cs="Times New Roman"/>
          <w:sz w:val="24"/>
          <w:szCs w:val="24"/>
          <w:lang w:val="en-US"/>
        </w:rPr>
        <w:t>".</w:t>
      </w:r>
    </w:p>
    <w:p w:rsidR="00557436" w:rsidRPr="00842337" w:rsidRDefault="00557436" w:rsidP="00557436">
      <w:pPr>
        <w:pStyle w:val="Titolo1"/>
        <w:rPr>
          <w:rStyle w:val="rynqvb"/>
          <w:rFonts w:ascii="Times New Roman" w:eastAsiaTheme="minorHAnsi" w:hAnsi="Times New Roman" w:cs="Times New Roman"/>
          <w:b w:val="0"/>
          <w:bCs w:val="0"/>
          <w:color w:val="auto"/>
          <w:sz w:val="24"/>
          <w:szCs w:val="24"/>
          <w:lang w:val="en-US"/>
        </w:rPr>
      </w:pPr>
    </w:p>
    <w:p w:rsidR="00557436" w:rsidRPr="00842337" w:rsidRDefault="00557436" w:rsidP="00557436">
      <w:pPr>
        <w:pStyle w:val="Titolo1"/>
        <w:rPr>
          <w:rStyle w:val="rynqvb"/>
          <w:rFonts w:ascii="Times New Roman" w:hAnsi="Times New Roman" w:cs="Times New Roman"/>
          <w:szCs w:val="24"/>
          <w:lang w:val="en-US"/>
        </w:rPr>
      </w:pPr>
      <w:bookmarkStart w:id="92" w:name="_Toc149491254"/>
      <w:r w:rsidRPr="00842337">
        <w:rPr>
          <w:rStyle w:val="rynqvb"/>
          <w:rFonts w:ascii="Times New Roman" w:hAnsi="Times New Roman" w:cs="Times New Roman"/>
          <w:szCs w:val="24"/>
          <w:lang w:val="en-US"/>
        </w:rPr>
        <w:t>Algae Cultivator from SDGC (source) :</w:t>
      </w:r>
      <w:bookmarkEnd w:id="92"/>
    </w:p>
    <w:p w:rsidR="00557436" w:rsidRPr="00842337" w:rsidRDefault="00557436" w:rsidP="00557436">
      <w:pPr>
        <w:rPr>
          <w:rFonts w:ascii="Times New Roman" w:hAnsi="Times New Roman" w:cs="Times New Roman"/>
          <w:lang w:val="en-US"/>
        </w:rPr>
      </w:pPr>
    </w:p>
    <w:p w:rsidR="00557436" w:rsidRPr="00842337" w:rsidRDefault="00557436" w:rsidP="00557436">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Patent: </w:t>
      </w:r>
    </w:p>
    <w:p w:rsidR="00557436" w:rsidRPr="00842337" w:rsidRDefault="00562939" w:rsidP="00557436">
      <w:pPr>
        <w:jc w:val="both"/>
        <w:rPr>
          <w:rFonts w:ascii="Times New Roman" w:hAnsi="Times New Roman" w:cs="Times New Roman"/>
          <w:sz w:val="24"/>
          <w:szCs w:val="24"/>
          <w:lang w:val="en-US"/>
        </w:rPr>
      </w:pPr>
      <w:hyperlink r:id="rId24" w:history="1">
        <w:r w:rsidR="00557436" w:rsidRPr="00842337">
          <w:rPr>
            <w:rStyle w:val="Enfasigrassetto"/>
            <w:rFonts w:ascii="Times New Roman" w:hAnsi="Times New Roman" w:cs="Times New Roman"/>
            <w:color w:val="0000FF"/>
            <w:sz w:val="24"/>
            <w:szCs w:val="24"/>
            <w:u w:val="single"/>
            <w:lang w:val="en-US"/>
          </w:rPr>
          <w:t>PBRC</w:t>
        </w:r>
      </w:hyperlink>
      <w:r w:rsidR="00557436" w:rsidRPr="00842337">
        <w:rPr>
          <w:rFonts w:ascii="Times New Roman" w:hAnsi="Times New Roman" w:cs="Times New Roman"/>
          <w:sz w:val="24"/>
          <w:szCs w:val="24"/>
          <w:lang w:val="en-US"/>
        </w:rPr>
        <w:t> ,</w:t>
      </w:r>
      <w:r w:rsidR="00557436" w:rsidRPr="00842337">
        <w:rPr>
          <w:rFonts w:ascii="Times New Roman" w:hAnsi="Times New Roman" w:cs="Times New Roman"/>
          <w:b/>
          <w:sz w:val="24"/>
          <w:szCs w:val="24"/>
          <w:lang w:val="en-US"/>
        </w:rPr>
        <w:t>    </w:t>
      </w:r>
      <w:hyperlink r:id="rId25" w:history="1">
        <w:r w:rsidR="00557436" w:rsidRPr="00842337">
          <w:rPr>
            <w:rStyle w:val="Collegamentoipertestuale"/>
            <w:rFonts w:ascii="Times New Roman" w:hAnsi="Times New Roman" w:cs="Times New Roman"/>
            <w:b/>
            <w:sz w:val="24"/>
            <w:szCs w:val="24"/>
            <w:lang w:val="en-US"/>
          </w:rPr>
          <w:t>https://patentscope.wipo.int/search/en/detail.jsf?docId=WO2016092583</w:t>
        </w:r>
      </w:hyperlink>
      <w:r w:rsidR="00557436" w:rsidRPr="00842337">
        <w:rPr>
          <w:rFonts w:ascii="Times New Roman" w:hAnsi="Times New Roman" w:cs="Times New Roman"/>
          <w:sz w:val="24"/>
          <w:szCs w:val="24"/>
          <w:lang w:val="en-US"/>
        </w:rPr>
        <w:t xml:space="preserve"> (algae to food/feed/biofuel, in urban and periurban); </w:t>
      </w:r>
      <w:hyperlink r:id="rId26" w:history="1">
        <w:r w:rsidR="00557436" w:rsidRPr="00842337">
          <w:rPr>
            <w:rStyle w:val="Collegamentoipertestuale"/>
            <w:rFonts w:ascii="Times New Roman" w:hAnsi="Times New Roman" w:cs="Times New Roman"/>
            <w:sz w:val="24"/>
            <w:szCs w:val="24"/>
            <w:lang w:val="en-US"/>
          </w:rPr>
          <w:t>view1</w:t>
        </w:r>
      </w:hyperlink>
    </w:p>
    <w:p w:rsidR="00557436" w:rsidRPr="00842337" w:rsidRDefault="00557436" w:rsidP="00557436">
      <w:pPr>
        <w:jc w:val="both"/>
        <w:rPr>
          <w:rFonts w:ascii="Times New Roman" w:hAnsi="Times New Roman" w:cs="Times New Roman"/>
          <w:sz w:val="24"/>
          <w:szCs w:val="24"/>
          <w:lang w:val="en-US"/>
        </w:rPr>
      </w:pPr>
    </w:p>
    <w:p w:rsidR="00557436" w:rsidRPr="00842337" w:rsidRDefault="00557436" w:rsidP="00557436">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Italy: GRANT </w:t>
      </w:r>
    </w:p>
    <w:p w:rsidR="00557436" w:rsidRPr="00842337" w:rsidRDefault="00562939" w:rsidP="00557436">
      <w:pPr>
        <w:jc w:val="both"/>
        <w:rPr>
          <w:rFonts w:ascii="Times New Roman" w:hAnsi="Times New Roman" w:cs="Times New Roman"/>
          <w:sz w:val="24"/>
          <w:szCs w:val="24"/>
          <w:lang w:val="en-US"/>
        </w:rPr>
      </w:pPr>
      <w:hyperlink r:id="rId27" w:history="1">
        <w:r w:rsidR="00557436" w:rsidRPr="00842337">
          <w:rPr>
            <w:rStyle w:val="Collegamentoipertestuale"/>
            <w:rFonts w:ascii="Times New Roman" w:hAnsi="Times New Roman" w:cs="Times New Roman"/>
            <w:sz w:val="24"/>
            <w:szCs w:val="24"/>
            <w:lang w:val="en-US"/>
          </w:rPr>
          <w:t>http://www.expotv1.com/LIC/MISE_0001427412_PBRC.pdf</w:t>
        </w:r>
      </w:hyperlink>
      <w:r w:rsidR="00557436" w:rsidRPr="00842337">
        <w:rPr>
          <w:rFonts w:ascii="Times New Roman" w:hAnsi="Times New Roman" w:cs="Times New Roman"/>
          <w:sz w:val="24"/>
          <w:szCs w:val="24"/>
          <w:lang w:val="en-US"/>
        </w:rPr>
        <w:t>, ...mean "INDUSTRY (useful), NEW (no make before), INVENTIVE (teach some things)"mean "INDUSTRY (useful), NEW (no make before), INVENTIVE (teach some things)".</w:t>
      </w:r>
    </w:p>
    <w:p w:rsidR="00557436" w:rsidRPr="00842337" w:rsidRDefault="00557436" w:rsidP="00557436">
      <w:pPr>
        <w:jc w:val="both"/>
        <w:rPr>
          <w:rStyle w:val="rynqvb"/>
          <w:rFonts w:ascii="Times New Roman" w:hAnsi="Times New Roman" w:cs="Times New Roman"/>
          <w:sz w:val="24"/>
          <w:szCs w:val="24"/>
          <w:lang w:val="en-US"/>
        </w:rPr>
      </w:pPr>
    </w:p>
    <w:p w:rsidR="00557436" w:rsidRPr="00842337" w:rsidRDefault="00557436" w:rsidP="00557436">
      <w:pPr>
        <w:jc w:val="both"/>
        <w:rPr>
          <w:rFonts w:ascii="Times New Roman" w:hAnsi="Times New Roman" w:cs="Times New Roman"/>
          <w:sz w:val="24"/>
          <w:szCs w:val="24"/>
          <w:lang w:val="en-US"/>
        </w:rPr>
      </w:pPr>
      <w:r w:rsidRPr="00842337">
        <w:rPr>
          <w:rStyle w:val="rynqvb"/>
          <w:rFonts w:ascii="Times New Roman" w:hAnsi="Times New Roman" w:cs="Times New Roman"/>
          <w:b/>
          <w:sz w:val="24"/>
          <w:szCs w:val="24"/>
          <w:lang w:val="en-US"/>
        </w:rPr>
        <w:t xml:space="preserve">Abstract/Description - </w:t>
      </w:r>
      <w:r w:rsidRPr="00842337">
        <w:rPr>
          <w:rFonts w:ascii="Times New Roman" w:hAnsi="Times New Roman" w:cs="Times New Roman"/>
          <w:sz w:val="24"/>
          <w:szCs w:val="24"/>
          <w:lang w:val="en-US"/>
        </w:rPr>
        <w:t xml:space="preserve">Patent:  </w:t>
      </w:r>
    </w:p>
    <w:p w:rsidR="00557436" w:rsidRPr="00842337" w:rsidRDefault="00562939" w:rsidP="00557436">
      <w:pPr>
        <w:jc w:val="both"/>
        <w:rPr>
          <w:rFonts w:ascii="Times New Roman" w:hAnsi="Times New Roman" w:cs="Times New Roman"/>
          <w:b/>
          <w:sz w:val="24"/>
          <w:szCs w:val="24"/>
          <w:lang w:val="en-US"/>
        </w:rPr>
      </w:pPr>
      <w:hyperlink r:id="rId28" w:history="1">
        <w:r w:rsidR="00557436" w:rsidRPr="00842337">
          <w:rPr>
            <w:rStyle w:val="Enfasigrassetto"/>
            <w:rFonts w:ascii="Times New Roman" w:hAnsi="Times New Roman" w:cs="Times New Roman"/>
            <w:color w:val="0000FF"/>
            <w:sz w:val="24"/>
            <w:szCs w:val="24"/>
            <w:u w:val="single"/>
            <w:lang w:val="en-US"/>
          </w:rPr>
          <w:t>PBRC</w:t>
        </w:r>
      </w:hyperlink>
      <w:r w:rsidR="00557436" w:rsidRPr="00842337">
        <w:rPr>
          <w:rFonts w:ascii="Times New Roman" w:hAnsi="Times New Roman" w:cs="Times New Roman"/>
          <w:sz w:val="24"/>
          <w:szCs w:val="24"/>
          <w:lang w:val="en-US"/>
        </w:rPr>
        <w:t> ,</w:t>
      </w:r>
      <w:r w:rsidR="00557436" w:rsidRPr="00842337">
        <w:rPr>
          <w:rFonts w:ascii="Times New Roman" w:hAnsi="Times New Roman" w:cs="Times New Roman"/>
          <w:b/>
          <w:sz w:val="24"/>
          <w:szCs w:val="24"/>
          <w:lang w:val="en-US"/>
        </w:rPr>
        <w:t>    </w:t>
      </w:r>
      <w:hyperlink r:id="rId29" w:history="1">
        <w:r w:rsidR="00557436" w:rsidRPr="00842337">
          <w:rPr>
            <w:rStyle w:val="Collegamentoipertestuale"/>
            <w:rFonts w:ascii="Times New Roman" w:hAnsi="Times New Roman" w:cs="Times New Roman"/>
            <w:b/>
            <w:sz w:val="24"/>
            <w:szCs w:val="24"/>
            <w:lang w:val="en-US"/>
          </w:rPr>
          <w:t>https://patentscope.wipo.int/search/en/detail.jsf?docId=WO2016092583</w:t>
        </w:r>
      </w:hyperlink>
    </w:p>
    <w:p w:rsidR="00557436" w:rsidRPr="00842337" w:rsidRDefault="00557436" w:rsidP="00557436">
      <w:pPr>
        <w:jc w:val="both"/>
        <w:rPr>
          <w:rStyle w:val="rynqvb"/>
          <w:rFonts w:ascii="Times New Roman" w:hAnsi="Times New Roman" w:cs="Times New Roman"/>
          <w:b/>
          <w:sz w:val="24"/>
          <w:szCs w:val="24"/>
          <w:lang w:val="en-US"/>
        </w:rPr>
      </w:pPr>
    </w:p>
    <w:p w:rsidR="00557436" w:rsidRPr="00842337" w:rsidRDefault="00557436" w:rsidP="00557436">
      <w:pPr>
        <w:jc w:val="both"/>
        <w:rPr>
          <w:rStyle w:val="rynqvb"/>
          <w:rFonts w:ascii="Times New Roman" w:hAnsi="Times New Roman" w:cs="Times New Roman"/>
          <w:b/>
          <w:sz w:val="24"/>
          <w:szCs w:val="24"/>
          <w:lang w:val="en-US"/>
        </w:rPr>
      </w:pPr>
      <w:r w:rsidRPr="00842337">
        <w:rPr>
          <w:rStyle w:val="rynqvb"/>
          <w:rFonts w:ascii="Times New Roman" w:hAnsi="Times New Roman" w:cs="Times New Roman"/>
          <w:b/>
          <w:sz w:val="24"/>
          <w:szCs w:val="24"/>
          <w:lang w:val="en-US"/>
        </w:rPr>
        <w:t xml:space="preserve">Full Intellectual Property </w:t>
      </w:r>
    </w:p>
    <w:p w:rsidR="00557436" w:rsidRPr="00842337" w:rsidRDefault="00562939" w:rsidP="00557436">
      <w:pPr>
        <w:jc w:val="both"/>
        <w:rPr>
          <w:rStyle w:val="rynqvb"/>
          <w:rFonts w:ascii="Times New Roman" w:hAnsi="Times New Roman" w:cs="Times New Roman"/>
          <w:b/>
          <w:sz w:val="24"/>
          <w:szCs w:val="24"/>
          <w:lang w:val="en-US"/>
        </w:rPr>
      </w:pPr>
      <w:hyperlink r:id="rId30" w:history="1">
        <w:r w:rsidR="00557436" w:rsidRPr="00842337">
          <w:rPr>
            <w:rStyle w:val="Collegamentoipertestuale"/>
            <w:rFonts w:ascii="Times New Roman" w:hAnsi="Times New Roman" w:cs="Times New Roman"/>
            <w:b/>
            <w:sz w:val="24"/>
            <w:szCs w:val="24"/>
            <w:lang w:val="en-US"/>
          </w:rPr>
          <w:t>http://www.expotv1.com/ESCP_Patent.htm</w:t>
        </w:r>
      </w:hyperlink>
    </w:p>
    <w:p w:rsidR="00557436" w:rsidRPr="00842337" w:rsidRDefault="00557436" w:rsidP="00557436">
      <w:pPr>
        <w:jc w:val="both"/>
        <w:rPr>
          <w:rStyle w:val="rynqvb"/>
          <w:rFonts w:ascii="Times New Roman" w:hAnsi="Times New Roman" w:cs="Times New Roman"/>
          <w:b/>
          <w:sz w:val="24"/>
          <w:szCs w:val="24"/>
          <w:lang w:val="en-US"/>
        </w:rPr>
      </w:pPr>
    </w:p>
    <w:p w:rsidR="00557436" w:rsidRPr="00842337" w:rsidRDefault="00557436" w:rsidP="00557436">
      <w:pPr>
        <w:jc w:val="both"/>
        <w:rPr>
          <w:rStyle w:val="rynqvb"/>
          <w:rFonts w:ascii="Times New Roman" w:hAnsi="Times New Roman" w:cs="Times New Roman"/>
          <w:b/>
          <w:sz w:val="24"/>
          <w:szCs w:val="24"/>
          <w:lang w:val="en-US"/>
        </w:rPr>
      </w:pPr>
      <w:r w:rsidRPr="00842337">
        <w:rPr>
          <w:rStyle w:val="rynqvb"/>
          <w:rFonts w:ascii="Times New Roman" w:hAnsi="Times New Roman" w:cs="Times New Roman"/>
          <w:b/>
          <w:sz w:val="24"/>
          <w:szCs w:val="24"/>
          <w:lang w:val="en-US"/>
        </w:rPr>
        <w:t xml:space="preserve">Full JWTeam Service </w:t>
      </w:r>
    </w:p>
    <w:p w:rsidR="00557436" w:rsidRPr="00842337" w:rsidRDefault="00562939" w:rsidP="00557436">
      <w:pPr>
        <w:jc w:val="both"/>
        <w:rPr>
          <w:rStyle w:val="rynqvb"/>
          <w:rFonts w:ascii="Times New Roman" w:hAnsi="Times New Roman" w:cs="Times New Roman"/>
          <w:b/>
          <w:sz w:val="24"/>
          <w:szCs w:val="24"/>
          <w:lang w:val="en-US"/>
        </w:rPr>
      </w:pPr>
      <w:hyperlink r:id="rId31" w:history="1">
        <w:r w:rsidR="00557436" w:rsidRPr="00842337">
          <w:rPr>
            <w:rStyle w:val="Collegamentoipertestuale"/>
            <w:rFonts w:ascii="Times New Roman" w:hAnsi="Times New Roman" w:cs="Times New Roman"/>
            <w:b/>
            <w:sz w:val="24"/>
            <w:szCs w:val="24"/>
            <w:lang w:val="en-US"/>
          </w:rPr>
          <w:t>http://www.expotv1.com/PUB/JWT_Service_EN.pdf</w:t>
        </w:r>
      </w:hyperlink>
    </w:p>
    <w:p w:rsidR="00557436" w:rsidRPr="00842337" w:rsidRDefault="00557436" w:rsidP="00557436">
      <w:pPr>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57436" w:rsidRPr="00842337" w:rsidRDefault="00557436" w:rsidP="00557436">
      <w:pPr>
        <w:pStyle w:val="Titolo1"/>
        <w:rPr>
          <w:rFonts w:ascii="Times New Roman" w:hAnsi="Times New Roman" w:cs="Times New Roman"/>
          <w:lang w:val="en-US"/>
        </w:rPr>
      </w:pPr>
      <w:bookmarkStart w:id="93" w:name="_Toc149491255"/>
      <w:r w:rsidRPr="00842337">
        <w:rPr>
          <w:rFonts w:ascii="Times New Roman" w:hAnsi="Times New Roman" w:cs="Times New Roman"/>
          <w:lang w:val="en-US"/>
        </w:rPr>
        <w:lastRenderedPageBreak/>
        <w:t>Summary – Applications (to SDGs)</w:t>
      </w:r>
      <w:bookmarkEnd w:id="93"/>
    </w:p>
    <w:p w:rsidR="00557436" w:rsidRPr="00842337" w:rsidRDefault="00557436" w:rsidP="00557436">
      <w:pPr>
        <w:pStyle w:val="NormaleWeb"/>
        <w:jc w:val="both"/>
        <w:rPr>
          <w:lang w:val="en-US"/>
        </w:rPr>
      </w:pPr>
    </w:p>
    <w:p w:rsidR="00557436" w:rsidRPr="00842337" w:rsidRDefault="00562939" w:rsidP="00557436">
      <w:pPr>
        <w:pStyle w:val="NormaleWeb"/>
        <w:jc w:val="right"/>
        <w:rPr>
          <w:rStyle w:val="Enfasigrassetto"/>
          <w:color w:val="0000FF"/>
          <w:lang w:val="en-US"/>
        </w:rPr>
      </w:pPr>
      <w:hyperlink r:id="rId32" w:history="1">
        <w:r w:rsidR="00557436" w:rsidRPr="00842337">
          <w:rPr>
            <w:rStyle w:val="Enfasigrassetto"/>
            <w:color w:val="0000FF"/>
            <w:u w:val="single"/>
            <w:lang w:val="en-US"/>
          </w:rPr>
          <w:t>PBRC</w:t>
        </w:r>
      </w:hyperlink>
      <w:r w:rsidR="00557436" w:rsidRPr="00842337">
        <w:rPr>
          <w:rStyle w:val="Enfasigrassetto"/>
          <w:color w:val="0000FF"/>
          <w:lang w:val="en-US"/>
        </w:rPr>
        <w:t xml:space="preserve"> </w:t>
      </w:r>
    </w:p>
    <w:p w:rsidR="00557436" w:rsidRPr="00842337" w:rsidRDefault="00562939" w:rsidP="00557436">
      <w:pPr>
        <w:pStyle w:val="NormaleWeb"/>
        <w:jc w:val="right"/>
        <w:rPr>
          <w:b/>
          <w:color w:val="0000FF"/>
          <w:lang w:val="en-US"/>
        </w:rPr>
      </w:pPr>
      <w:hyperlink r:id="rId33" w:history="1">
        <w:r w:rsidR="00557436" w:rsidRPr="00842337">
          <w:rPr>
            <w:rStyle w:val="Enfasigrassetto"/>
            <w:b w:val="0"/>
            <w:color w:val="0000FF"/>
            <w:u w:val="single"/>
            <w:lang w:val="en-US"/>
          </w:rPr>
          <w:t>https://patentscope.wipo.int/search/en/detail.jsf?docId=WO2016092583</w:t>
        </w:r>
      </w:hyperlink>
    </w:p>
    <w:p w:rsidR="00557436" w:rsidRPr="00842337" w:rsidRDefault="00557436" w:rsidP="00557436">
      <w:pPr>
        <w:pStyle w:val="NormaleWeb"/>
        <w:jc w:val="both"/>
        <w:rPr>
          <w:color w:val="000000"/>
          <w:lang w:val="en-US"/>
        </w:rPr>
      </w:pPr>
      <w:r w:rsidRPr="00842337">
        <w:rPr>
          <w:rStyle w:val="Enfasigrassetto"/>
          <w:color w:val="008000"/>
          <w:lang w:val="en-US"/>
        </w:rPr>
        <w:t xml:space="preserve">MicroAlgae - </w:t>
      </w:r>
      <w:r w:rsidRPr="00842337">
        <w:rPr>
          <w:rStyle w:val="Enfasigrassetto"/>
          <w:color w:val="0000FF"/>
          <w:lang w:val="en-US"/>
        </w:rPr>
        <w:t xml:space="preserve">generate oleic and protein components for Bio-Fuel and Feed / Food . </w:t>
      </w:r>
      <w:r w:rsidRPr="00842337">
        <w:rPr>
          <w:rStyle w:val="Enfasigrassetto"/>
          <w:color w:val="008000"/>
          <w:lang w:val="en-US"/>
        </w:rPr>
        <w:t xml:space="preserve">PBRC </w:t>
      </w:r>
      <w:r w:rsidRPr="00842337">
        <w:rPr>
          <w:color w:val="000000"/>
          <w:lang w:val="en-US"/>
        </w:rPr>
        <w:t>is dedicated to algal cultivation, both for purposes useful for the oleic supply chain (energy, biodiesel, hydrogen , ...) and the protein supply chain ( feed / food , cosmetics, pharmaceuticals, ...). Very compact system that uses only renewable energy, with large specific growth indices. with great flexibility and penetrability even towards urban and peri-urban settlements . Excellent solution for CO2 capture and disposal of NPK salts deriving from other processes (e.g. anaerobic digesters) . It offers significant contrast in load</w:t>
      </w:r>
      <w:r w:rsidRPr="00842337">
        <w:rPr>
          <w:rFonts w:eastAsia="MS Mincho"/>
          <w:color w:val="000000"/>
        </w:rPr>
        <w:t xml:space="preserve">　</w:t>
      </w:r>
      <w:r w:rsidRPr="00842337">
        <w:rPr>
          <w:color w:val="000000"/>
          <w:lang w:val="en-US"/>
        </w:rPr>
        <w:t>inorganic from</w:t>
      </w:r>
      <w:r w:rsidRPr="00842337">
        <w:rPr>
          <w:rFonts w:eastAsia="MS Mincho"/>
          <w:color w:val="000000"/>
        </w:rPr>
        <w:t xml:space="preserve">　</w:t>
      </w:r>
      <w:r w:rsidRPr="00842337">
        <w:rPr>
          <w:color w:val="000000"/>
          <w:lang w:val="en-US"/>
        </w:rPr>
        <w:t>metals contributing to performance on</w:t>
      </w:r>
      <w:r w:rsidRPr="00842337">
        <w:rPr>
          <w:rFonts w:eastAsia="MS Mincho"/>
          <w:color w:val="000000"/>
        </w:rPr>
        <w:t xml:space="preserve">　</w:t>
      </w:r>
      <w:r w:rsidRPr="00842337">
        <w:rPr>
          <w:color w:val="000000"/>
          <w:lang w:val="en-US"/>
        </w:rPr>
        <w:t xml:space="preserve">" </w:t>
      </w:r>
      <w:r w:rsidRPr="00842337">
        <w:rPr>
          <w:rStyle w:val="Enfasigrassetto"/>
          <w:color w:val="000000"/>
          <w:lang w:val="en-US"/>
        </w:rPr>
        <w:t xml:space="preserve">Water cycle </w:t>
      </w:r>
      <w:r w:rsidRPr="00842337">
        <w:rPr>
          <w:color w:val="000000"/>
          <w:lang w:val="en-US"/>
        </w:rPr>
        <w:t>".</w:t>
      </w:r>
    </w:p>
    <w:p w:rsidR="00557436" w:rsidRPr="00842337" w:rsidRDefault="00557436" w:rsidP="00557436">
      <w:pPr>
        <w:adjustRightInd w:val="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 xml:space="preserve">Project: </w:t>
      </w:r>
      <w:r w:rsidRPr="00842337">
        <w:rPr>
          <w:rFonts w:ascii="Times New Roman" w:hAnsi="Times New Roman" w:cs="Times New Roman"/>
          <w:sz w:val="24"/>
          <w:szCs w:val="24"/>
          <w:lang w:val="en-US"/>
        </w:rPr>
        <w:t>PBRC – Phto Bio Reactor Continuous</w:t>
      </w:r>
    </w:p>
    <w:p w:rsidR="00557436" w:rsidRPr="00842337" w:rsidRDefault="00557436" w:rsidP="00557436">
      <w:pPr>
        <w:adjustRightInd w:val="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 xml:space="preserve">Objective : </w:t>
      </w:r>
      <w:r w:rsidRPr="00842337">
        <w:rPr>
          <w:rFonts w:ascii="Times New Roman" w:hAnsi="Times New Roman" w:cs="Times New Roman"/>
          <w:sz w:val="24"/>
          <w:szCs w:val="24"/>
          <w:lang w:val="en-US"/>
        </w:rPr>
        <w:t>Launch a pre- assembly and testing site (procedures and manuals) for the production of tanks</w:t>
      </w:r>
    </w:p>
    <w:p w:rsidR="00557436" w:rsidRPr="00842337" w:rsidRDefault="00557436" w:rsidP="00557436">
      <w:pPr>
        <w:adjustRightInd w:val="0"/>
        <w:jc w:val="both"/>
        <w:rPr>
          <w:rFonts w:ascii="Times New Roman" w:hAnsi="Times New Roman" w:cs="Times New Roman"/>
          <w:sz w:val="24"/>
          <w:szCs w:val="24"/>
          <w:lang w:val="en-US"/>
        </w:rPr>
      </w:pPr>
      <w:r w:rsidRPr="00842337">
        <w:rPr>
          <w:rFonts w:ascii="Times New Roman" w:hAnsi="Times New Roman" w:cs="Times New Roman"/>
          <w:b/>
          <w:bCs/>
          <w:sz w:val="24"/>
          <w:szCs w:val="24"/>
          <w:lang w:val="en-US"/>
        </w:rPr>
        <w:t xml:space="preserve">Target: </w:t>
      </w:r>
      <w:r w:rsidRPr="00842337">
        <w:rPr>
          <w:rFonts w:ascii="Times New Roman" w:hAnsi="Times New Roman" w:cs="Times New Roman"/>
          <w:sz w:val="24"/>
          <w:szCs w:val="24"/>
          <w:lang w:val="en-US"/>
        </w:rPr>
        <w:t xml:space="preserve">Prefabricated (CLS) companies, Operators in the power LED sector, Hydromechanics companies , Financial </w:t>
      </w:r>
      <w:r w:rsidRPr="00842337">
        <w:rPr>
          <w:rFonts w:ascii="Times New Roman" w:hAnsi="Times New Roman" w:cs="Times New Roman"/>
          <w:sz w:val="24"/>
          <w:szCs w:val="24"/>
          <w:lang w:val="en-US"/>
        </w:rPr>
        <w:lastRenderedPageBreak/>
        <w:t>investors, Operators in the AGRO and BioGas / BioMethane sector</w:t>
      </w:r>
    </w:p>
    <w:p w:rsidR="00557436" w:rsidRPr="00842337" w:rsidRDefault="00557436" w:rsidP="00557436">
      <w:pPr>
        <w:adjustRightInd w:val="0"/>
        <w:jc w:val="both"/>
        <w:rPr>
          <w:rFonts w:ascii="Times New Roman" w:hAnsi="Times New Roman" w:cs="Times New Roman"/>
          <w:sz w:val="24"/>
          <w:szCs w:val="24"/>
          <w:lang w:val="en-US"/>
        </w:rPr>
      </w:pPr>
    </w:p>
    <w:p w:rsidR="00557436" w:rsidRPr="00842337" w:rsidRDefault="00557436" w:rsidP="00557436">
      <w:pPr>
        <w:adjustRightInd w:val="0"/>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LED products integrated with RES, assembled and tested with a view to optimizing the cultivation of algal strains functional to the commissioned objectives. In collaboration with internal and external laboratories, it will act as remote support for the installations in charge (EPC - Engineering , Procurement and Construction ).</w:t>
      </w:r>
    </w:p>
    <w:p w:rsidR="00557436" w:rsidRPr="00842337" w:rsidRDefault="00557436" w:rsidP="00557436">
      <w:pPr>
        <w:adjustRightInd w:val="0"/>
        <w:jc w:val="both"/>
        <w:rPr>
          <w:rFonts w:ascii="Times New Roman" w:hAnsi="Times New Roman" w:cs="Times New Roman"/>
          <w:color w:val="000000"/>
          <w:sz w:val="24"/>
          <w:szCs w:val="24"/>
          <w:lang w:val="en-US"/>
        </w:rPr>
      </w:pP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b/>
          <w:sz w:val="24"/>
          <w:szCs w:val="24"/>
          <w:lang w:val="en-US" w:eastAsia="it-IT"/>
        </w:rPr>
        <w:t xml:space="preserve">Summary: </w:t>
      </w:r>
      <w:r w:rsidRPr="00842337">
        <w:rPr>
          <w:rFonts w:ascii="Times New Roman" w:hAnsi="Times New Roman" w:cs="Times New Roman"/>
          <w:sz w:val="24"/>
          <w:szCs w:val="24"/>
          <w:lang w:val="en-US" w:eastAsia="it-IT"/>
        </w:rPr>
        <w:t xml:space="preserve">The proposed method consists of the following steps; an aqueous mixture containing an inoculum, i.e. a small quantity of microalgae to be cultivated, is introduced into a tank divided into two parts by a bulkhead . The mixture follows a sinuous path in the first part of the tank, along which it is irradiated by a radiation spectrum suitable for the development and </w:t>
      </w:r>
      <w:r w:rsidRPr="00842337">
        <w:rPr>
          <w:rFonts w:ascii="Times New Roman" w:hAnsi="Times New Roman" w:cs="Times New Roman"/>
          <w:sz w:val="24"/>
          <w:szCs w:val="24"/>
          <w:lang w:val="en-US" w:eastAsia="it-IT"/>
        </w:rPr>
        <w:lastRenderedPageBreak/>
        <w:t xml:space="preserve">growth of microalgae. NPKx salts (containing nitrogen, phosphorus and potassium) and CO2 are also added along the way , which promote algal growth. The mixture, highly enriched with microalgae, passes into the second part of the tank, where it is subjected to ultrasound which destroys the algae, separating them into oleic and protein components. This action causes the formation of a new aqueous mixture in which there is an oleic fraction, a protein fraction and a neutral fraction. The new aqueous mixture undergoes a spontaneous gravimetric separation in such a way that: a) the lighter oleic fraction migrates to the upper part of the new mixture; b) the heavier protein fraction migrates to the lower part of the new mixture; c ) the neutral fraction, composed almost exclusively of water, remains in the intermediate part of the new mixture. The three fractions are taken separately. The neutral fraction is recycled containing inoculum for the starting aqueous mixture. The proposed device includes: a) a tank designed to contain the aqueous mixture; b) one or more bulkheads designed to delimit a path from an entry point to an exit point, said bulkheads being homogeneous diffusing panels of a radiative spectrum suitable for the cultivation phase; c) means designed to supply the fluid mixture with NPK salts (salts containing nitrogen, phosphorus and potassium) and CO2, said means being arranged along said path; d) means designed to produce </w:t>
      </w:r>
      <w:r w:rsidRPr="00842337">
        <w:rPr>
          <w:rFonts w:ascii="Times New Roman" w:hAnsi="Times New Roman" w:cs="Times New Roman"/>
          <w:sz w:val="24"/>
          <w:szCs w:val="24"/>
          <w:lang w:val="en-US" w:eastAsia="it-IT"/>
        </w:rPr>
        <w:lastRenderedPageBreak/>
        <w:t>ultrasounds, positioned at the final point of said path, said ultrasounds being of sufficient power to destroy the algae by separating them into oleic and protein components, giving rise to a new fluid mixture in which an oleic phase, a protein and a neutral phase; e) means designed to spread said new fluid mixture, in order to carry out a gravimetric separation of said oleic, protein and neutral phases; f) means designed to separately collect the said oleic, protein and neutral phases.</w:t>
      </w:r>
    </w:p>
    <w:p w:rsidR="00557436" w:rsidRPr="00842337" w:rsidRDefault="00557436" w:rsidP="00557436">
      <w:pPr>
        <w:jc w:val="both"/>
        <w:rPr>
          <w:rFonts w:ascii="Times New Roman" w:hAnsi="Times New Roman" w:cs="Times New Roman"/>
          <w:sz w:val="24"/>
          <w:szCs w:val="24"/>
          <w:lang w:val="en-US" w:eastAsia="it-IT"/>
        </w:rPr>
      </w:pP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sz w:val="24"/>
          <w:szCs w:val="24"/>
          <w:lang w:val="en-US" w:eastAsia="it-IT"/>
        </w:rPr>
        <w:t xml:space="preserve">This method and device have some advantages over traditional microalgae cultivation and extraction techniques. For example: </w:t>
      </w: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sz w:val="24"/>
          <w:szCs w:val="24"/>
          <w:lang w:val="en-US" w:eastAsia="it-IT"/>
        </w:rPr>
        <w:br/>
        <w:t>•  They reduce the space required and adapt to urban and suburban logistics;</w:t>
      </w: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sz w:val="24"/>
          <w:szCs w:val="24"/>
          <w:lang w:val="en-US" w:eastAsia="it-IT"/>
        </w:rPr>
        <w:t>•  They mainly exploit renewable and environmentally friendly energy sources;</w:t>
      </w: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sz w:val="24"/>
          <w:szCs w:val="24"/>
          <w:lang w:val="en-US" w:eastAsia="it-IT"/>
        </w:rPr>
        <w:t>•  They obtain high growth rates and a continuous production cycle of the oil and protein fractions;</w:t>
      </w: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sz w:val="24"/>
          <w:szCs w:val="24"/>
          <w:lang w:val="en-US" w:eastAsia="it-IT"/>
        </w:rPr>
        <w:t>•  They avoid the mechanical movement of the algal mass and its exposure to environmental thermal cycles;</w:t>
      </w:r>
    </w:p>
    <w:p w:rsidR="00557436" w:rsidRPr="00842337" w:rsidRDefault="00557436" w:rsidP="00557436">
      <w:pPr>
        <w:jc w:val="both"/>
        <w:rPr>
          <w:rFonts w:ascii="Times New Roman" w:hAnsi="Times New Roman" w:cs="Times New Roman"/>
          <w:sz w:val="24"/>
          <w:szCs w:val="24"/>
          <w:lang w:val="en-US" w:eastAsia="it-IT"/>
        </w:rPr>
      </w:pPr>
      <w:r w:rsidRPr="00842337">
        <w:rPr>
          <w:rFonts w:ascii="Times New Roman" w:hAnsi="Times New Roman" w:cs="Times New Roman"/>
          <w:sz w:val="24"/>
          <w:szCs w:val="24"/>
          <w:lang w:val="en-US" w:eastAsia="it-IT"/>
        </w:rPr>
        <w:lastRenderedPageBreak/>
        <w:t>•  They limit the risks of biological and chemical contamination from the environment.</w:t>
      </w:r>
    </w:p>
    <w:p w:rsidR="00557436" w:rsidRPr="00842337" w:rsidRDefault="00557436" w:rsidP="00557436">
      <w:pPr>
        <w:jc w:val="both"/>
        <w:rPr>
          <w:rFonts w:ascii="Times New Roman" w:hAnsi="Times New Roman" w:cs="Times New Roman"/>
          <w:sz w:val="24"/>
          <w:szCs w:val="24"/>
          <w:lang w:val="en-US" w:eastAsia="it-IT"/>
        </w:rPr>
      </w:pPr>
    </w:p>
    <w:p w:rsidR="00557436" w:rsidRPr="00842337" w:rsidRDefault="00562939" w:rsidP="00557436">
      <w:pPr>
        <w:pStyle w:val="Corpodeltesto"/>
        <w:tabs>
          <w:tab w:val="left" w:pos="3153"/>
        </w:tabs>
        <w:spacing w:before="2"/>
        <w:jc w:val="right"/>
        <w:rPr>
          <w:i/>
          <w:sz w:val="24"/>
          <w:lang w:val="en-US" w:eastAsia="it-IT"/>
        </w:rPr>
      </w:pPr>
      <w:hyperlink r:id="rId34" w:history="1">
        <w:r w:rsidR="00557436" w:rsidRPr="00842337">
          <w:rPr>
            <w:rStyle w:val="Collegamentoipertestuale"/>
            <w:b/>
            <w:i/>
            <w:sz w:val="24"/>
            <w:lang w:val="en-US"/>
          </w:rPr>
          <w:t xml:space="preserve">SDGs </w:t>
        </w:r>
      </w:hyperlink>
      <w:hyperlink r:id="rId35" w:history="1">
        <w:r w:rsidR="00557436" w:rsidRPr="00842337">
          <w:rPr>
            <w:rStyle w:val="Collegamentoipertestuale"/>
            <w:b/>
            <w:i/>
            <w:sz w:val="24"/>
            <w:lang w:val="en-US"/>
          </w:rPr>
          <w:t xml:space="preserve">/ </w:t>
        </w:r>
      </w:hyperlink>
      <w:hyperlink r:id="rId36" w:history="1"/>
      <w:hyperlink r:id="rId37" w:history="1">
        <w:r w:rsidR="00557436" w:rsidRPr="00842337">
          <w:rPr>
            <w:rStyle w:val="Collegamentoipertestuale"/>
            <w:b/>
            <w:i/>
            <w:sz w:val="24"/>
            <w:lang w:val="en-US"/>
          </w:rPr>
          <w:t xml:space="preserve">UN_en </w:t>
        </w:r>
      </w:hyperlink>
      <w:hyperlink r:id="rId38" w:history="1"/>
      <w:r w:rsidR="00557436" w:rsidRPr="00842337">
        <w:rPr>
          <w:b/>
          <w:i/>
          <w:sz w:val="24"/>
          <w:lang w:val="en-US"/>
        </w:rPr>
        <w:t xml:space="preserve">- </w:t>
      </w:r>
      <w:hyperlink r:id="rId39" w:history="1">
        <w:r w:rsidR="00557436" w:rsidRPr="00842337">
          <w:rPr>
            <w:rStyle w:val="Collegamentoipertestuale"/>
            <w:b/>
            <w:i/>
            <w:sz w:val="24"/>
            <w:lang w:val="en-US"/>
          </w:rPr>
          <w:t xml:space="preserve">SDGs </w:t>
        </w:r>
      </w:hyperlink>
      <w:hyperlink r:id="rId40" w:history="1">
        <w:r w:rsidR="00557436" w:rsidRPr="00842337">
          <w:rPr>
            <w:rStyle w:val="Collegamentoipertestuale"/>
            <w:b/>
            <w:i/>
            <w:sz w:val="24"/>
            <w:lang w:val="en-US"/>
          </w:rPr>
          <w:t xml:space="preserve">/ </w:t>
        </w:r>
      </w:hyperlink>
      <w:hyperlink r:id="rId41" w:history="1"/>
      <w:hyperlink r:id="rId42" w:history="1">
        <w:r w:rsidR="00557436" w:rsidRPr="00842337">
          <w:rPr>
            <w:rStyle w:val="Collegamentoipertestuale"/>
            <w:b/>
            <w:i/>
            <w:sz w:val="24"/>
            <w:lang w:val="en-US"/>
          </w:rPr>
          <w:t>UN_it</w:t>
        </w:r>
      </w:hyperlink>
      <w:hyperlink r:id="rId43" w:history="1"/>
      <w:r w:rsidR="00557436" w:rsidRPr="00842337">
        <w:rPr>
          <w:b/>
          <w:i/>
          <w:sz w:val="24"/>
          <w:lang w:val="en-US"/>
        </w:rPr>
        <w:t xml:space="preserve">  </w:t>
      </w:r>
      <w:r w:rsidR="00557436" w:rsidRPr="00842337">
        <w:rPr>
          <w:i/>
          <w:sz w:val="24"/>
          <w:lang w:val="en-US" w:eastAsia="it-IT"/>
        </w:rPr>
        <w:t>Full Strategy to</w:t>
      </w:r>
    </w:p>
    <w:p w:rsidR="00557436" w:rsidRPr="00842337" w:rsidRDefault="00557436" w:rsidP="00557436">
      <w:pPr>
        <w:pStyle w:val="Corpodeltesto"/>
        <w:tabs>
          <w:tab w:val="left" w:pos="3153"/>
        </w:tabs>
        <w:spacing w:before="2"/>
        <w:jc w:val="right"/>
        <w:rPr>
          <w:b/>
          <w:i/>
          <w:sz w:val="24"/>
        </w:rPr>
      </w:pPr>
      <w:r w:rsidRPr="00842337">
        <w:rPr>
          <w:i/>
          <w:sz w:val="24"/>
          <w:lang w:val="en-US" w:eastAsia="it-IT"/>
        </w:rPr>
        <w:t xml:space="preserve"> </w:t>
      </w:r>
      <w:hyperlink r:id="rId44" w:history="1">
        <w:r w:rsidRPr="00842337">
          <w:rPr>
            <w:rStyle w:val="Collegamentoipertestuale"/>
            <w:b/>
            <w:i/>
            <w:color w:val="00B050"/>
            <w:sz w:val="24"/>
          </w:rPr>
          <w:t>1</w:t>
        </w:r>
      </w:hyperlink>
      <w:r w:rsidRPr="00842337">
        <w:rPr>
          <w:rStyle w:val="badge"/>
          <w:b/>
          <w:i/>
          <w:color w:val="00B050"/>
          <w:sz w:val="24"/>
        </w:rPr>
        <w:t xml:space="preserve"> </w:t>
      </w:r>
      <w:hyperlink r:id="rId45" w:history="1">
        <w:r w:rsidRPr="00842337">
          <w:rPr>
            <w:rStyle w:val="Collegamentoipertestuale"/>
            <w:b/>
            <w:i/>
            <w:color w:val="00B050"/>
            <w:sz w:val="24"/>
          </w:rPr>
          <w:t>2</w:t>
        </w:r>
      </w:hyperlink>
      <w:r w:rsidRPr="00842337">
        <w:rPr>
          <w:rStyle w:val="badge"/>
          <w:b/>
          <w:i/>
          <w:color w:val="00B050"/>
          <w:sz w:val="24"/>
        </w:rPr>
        <w:t xml:space="preserve"> </w:t>
      </w:r>
      <w:hyperlink r:id="rId46" w:history="1">
        <w:r w:rsidRPr="00842337">
          <w:rPr>
            <w:rStyle w:val="Collegamentoipertestuale"/>
            <w:b/>
            <w:i/>
            <w:color w:val="00B050"/>
            <w:sz w:val="24"/>
          </w:rPr>
          <w:t>3</w:t>
        </w:r>
      </w:hyperlink>
      <w:r w:rsidRPr="00842337">
        <w:rPr>
          <w:rStyle w:val="badge"/>
          <w:b/>
          <w:i/>
          <w:color w:val="00B050"/>
          <w:sz w:val="24"/>
        </w:rPr>
        <w:t xml:space="preserve"> </w:t>
      </w:r>
      <w:hyperlink r:id="rId47" w:history="1">
        <w:r w:rsidRPr="00842337">
          <w:rPr>
            <w:rStyle w:val="Collegamentoipertestuale"/>
            <w:b/>
            <w:i/>
            <w:color w:val="00B050"/>
            <w:sz w:val="24"/>
          </w:rPr>
          <w:t>4</w:t>
        </w:r>
      </w:hyperlink>
      <w:r w:rsidRPr="00842337">
        <w:rPr>
          <w:rStyle w:val="badge"/>
          <w:b/>
          <w:i/>
          <w:color w:val="00B050"/>
          <w:sz w:val="24"/>
        </w:rPr>
        <w:t xml:space="preserve"> </w:t>
      </w:r>
      <w:hyperlink r:id="rId48" w:history="1">
        <w:r w:rsidRPr="00842337">
          <w:rPr>
            <w:rStyle w:val="Collegamentoipertestuale"/>
            <w:b/>
            <w:i/>
            <w:color w:val="00B050"/>
            <w:sz w:val="24"/>
          </w:rPr>
          <w:t>5</w:t>
        </w:r>
      </w:hyperlink>
      <w:r w:rsidRPr="00842337">
        <w:rPr>
          <w:rStyle w:val="badge"/>
          <w:b/>
          <w:i/>
          <w:color w:val="00B050"/>
          <w:sz w:val="24"/>
        </w:rPr>
        <w:t xml:space="preserve"> </w:t>
      </w:r>
      <w:hyperlink r:id="rId49" w:history="1">
        <w:r w:rsidRPr="00842337">
          <w:rPr>
            <w:rStyle w:val="Collegamentoipertestuale"/>
            <w:b/>
            <w:i/>
            <w:color w:val="00B050"/>
            <w:sz w:val="24"/>
          </w:rPr>
          <w:t>6</w:t>
        </w:r>
      </w:hyperlink>
      <w:r w:rsidRPr="00842337">
        <w:rPr>
          <w:rStyle w:val="badge"/>
          <w:b/>
          <w:i/>
          <w:color w:val="00B050"/>
          <w:sz w:val="24"/>
        </w:rPr>
        <w:t xml:space="preserve"> </w:t>
      </w:r>
      <w:hyperlink r:id="rId50" w:history="1">
        <w:r w:rsidRPr="00842337">
          <w:rPr>
            <w:rStyle w:val="Collegamentoipertestuale"/>
            <w:b/>
            <w:i/>
            <w:color w:val="00B050"/>
            <w:sz w:val="24"/>
          </w:rPr>
          <w:t>7</w:t>
        </w:r>
      </w:hyperlink>
      <w:r w:rsidRPr="00842337">
        <w:rPr>
          <w:rStyle w:val="badge"/>
          <w:b/>
          <w:i/>
          <w:color w:val="00B050"/>
          <w:sz w:val="24"/>
        </w:rPr>
        <w:t xml:space="preserve"> </w:t>
      </w:r>
      <w:hyperlink r:id="rId51" w:history="1">
        <w:r w:rsidRPr="00842337">
          <w:rPr>
            <w:rStyle w:val="Collegamentoipertestuale"/>
            <w:b/>
            <w:i/>
            <w:color w:val="0070C0"/>
            <w:sz w:val="24"/>
          </w:rPr>
          <w:t>8</w:t>
        </w:r>
      </w:hyperlink>
      <w:r w:rsidRPr="00842337">
        <w:rPr>
          <w:rStyle w:val="badge"/>
          <w:b/>
          <w:i/>
          <w:color w:val="00B050"/>
          <w:sz w:val="24"/>
        </w:rPr>
        <w:t xml:space="preserve"> </w:t>
      </w:r>
      <w:hyperlink r:id="rId52" w:history="1">
        <w:r w:rsidRPr="00842337">
          <w:rPr>
            <w:rStyle w:val="Collegamentoipertestuale"/>
            <w:b/>
            <w:i/>
            <w:color w:val="00B050"/>
            <w:sz w:val="24"/>
          </w:rPr>
          <w:t>9</w:t>
        </w:r>
      </w:hyperlink>
      <w:r w:rsidRPr="00842337">
        <w:rPr>
          <w:rStyle w:val="badge"/>
          <w:b/>
          <w:i/>
          <w:color w:val="00B050"/>
          <w:sz w:val="24"/>
        </w:rPr>
        <w:t xml:space="preserve"> </w:t>
      </w:r>
      <w:hyperlink r:id="rId53" w:history="1">
        <w:r w:rsidRPr="00842337">
          <w:rPr>
            <w:rStyle w:val="Collegamentoipertestuale"/>
            <w:b/>
            <w:i/>
            <w:color w:val="0070C0"/>
            <w:sz w:val="24"/>
          </w:rPr>
          <w:t>10</w:t>
        </w:r>
      </w:hyperlink>
      <w:r w:rsidRPr="00842337">
        <w:rPr>
          <w:rStyle w:val="badge"/>
          <w:b/>
          <w:i/>
          <w:color w:val="00B050"/>
          <w:sz w:val="24"/>
        </w:rPr>
        <w:t xml:space="preserve"> </w:t>
      </w:r>
      <w:hyperlink r:id="rId54" w:history="1">
        <w:r w:rsidRPr="00842337">
          <w:rPr>
            <w:rStyle w:val="Collegamentoipertestuale"/>
            <w:b/>
            <w:i/>
            <w:color w:val="00B050"/>
            <w:sz w:val="24"/>
          </w:rPr>
          <w:t>11</w:t>
        </w:r>
      </w:hyperlink>
      <w:r w:rsidRPr="00842337">
        <w:rPr>
          <w:rStyle w:val="badge"/>
          <w:b/>
          <w:i/>
          <w:color w:val="00B050"/>
          <w:sz w:val="24"/>
        </w:rPr>
        <w:t xml:space="preserve"> </w:t>
      </w:r>
      <w:hyperlink r:id="rId55" w:history="1">
        <w:r w:rsidRPr="00842337">
          <w:rPr>
            <w:rStyle w:val="Collegamentoipertestuale"/>
            <w:b/>
            <w:i/>
            <w:color w:val="00B050"/>
            <w:sz w:val="24"/>
          </w:rPr>
          <w:t>12</w:t>
        </w:r>
      </w:hyperlink>
      <w:r w:rsidRPr="00842337">
        <w:rPr>
          <w:rStyle w:val="badge"/>
          <w:b/>
          <w:i/>
          <w:color w:val="00B050"/>
          <w:sz w:val="24"/>
        </w:rPr>
        <w:t xml:space="preserve"> </w:t>
      </w:r>
      <w:hyperlink r:id="rId56" w:history="1">
        <w:r w:rsidRPr="00842337">
          <w:rPr>
            <w:rStyle w:val="Collegamentoipertestuale"/>
            <w:b/>
            <w:i/>
            <w:color w:val="00B050"/>
            <w:sz w:val="24"/>
          </w:rPr>
          <w:t>13</w:t>
        </w:r>
      </w:hyperlink>
      <w:r w:rsidRPr="00842337">
        <w:rPr>
          <w:rStyle w:val="badge"/>
          <w:b/>
          <w:i/>
          <w:color w:val="00B050"/>
          <w:sz w:val="24"/>
        </w:rPr>
        <w:t xml:space="preserve"> </w:t>
      </w:r>
      <w:hyperlink r:id="rId57" w:history="1">
        <w:r w:rsidRPr="00842337">
          <w:rPr>
            <w:rStyle w:val="Collegamentoipertestuale"/>
            <w:b/>
            <w:i/>
            <w:color w:val="00B050"/>
            <w:sz w:val="24"/>
          </w:rPr>
          <w:t>14</w:t>
        </w:r>
      </w:hyperlink>
      <w:r w:rsidRPr="00842337">
        <w:rPr>
          <w:rStyle w:val="badge"/>
          <w:b/>
          <w:i/>
          <w:color w:val="00B050"/>
          <w:sz w:val="24"/>
        </w:rPr>
        <w:t xml:space="preserve"> </w:t>
      </w:r>
      <w:hyperlink r:id="rId58" w:history="1">
        <w:r w:rsidRPr="00842337">
          <w:rPr>
            <w:rStyle w:val="Collegamentoipertestuale"/>
            <w:b/>
            <w:i/>
            <w:color w:val="00B050"/>
            <w:sz w:val="24"/>
          </w:rPr>
          <w:t>15</w:t>
        </w:r>
      </w:hyperlink>
      <w:r w:rsidRPr="00842337">
        <w:rPr>
          <w:rStyle w:val="badge"/>
          <w:b/>
          <w:i/>
          <w:color w:val="00B050"/>
          <w:sz w:val="24"/>
        </w:rPr>
        <w:t xml:space="preserve"> </w:t>
      </w:r>
      <w:hyperlink r:id="rId59" w:history="1">
        <w:r w:rsidRPr="00842337">
          <w:rPr>
            <w:rStyle w:val="Collegamentoipertestuale"/>
            <w:b/>
            <w:i/>
            <w:color w:val="0070C0"/>
            <w:sz w:val="24"/>
          </w:rPr>
          <w:t>16</w:t>
        </w:r>
      </w:hyperlink>
      <w:r w:rsidRPr="00842337">
        <w:rPr>
          <w:rStyle w:val="badge"/>
          <w:b/>
          <w:i/>
          <w:color w:val="0070C0"/>
          <w:sz w:val="24"/>
        </w:rPr>
        <w:t xml:space="preserve"> </w:t>
      </w:r>
      <w:hyperlink r:id="rId60" w:history="1">
        <w:r w:rsidRPr="00842337">
          <w:rPr>
            <w:rStyle w:val="Collegamentoipertestuale"/>
            <w:b/>
            <w:i/>
            <w:color w:val="0070C0"/>
            <w:sz w:val="24"/>
          </w:rPr>
          <w:t>17</w:t>
        </w:r>
      </w:hyperlink>
      <w:r w:rsidRPr="00842337">
        <w:rPr>
          <w:rStyle w:val="badge"/>
          <w:sz w:val="24"/>
        </w:rPr>
        <w:t xml:space="preserve">   </w:t>
      </w:r>
      <w:hyperlink r:id="rId61" w:history="1">
        <w:r w:rsidRPr="00842337">
          <w:rPr>
            <w:rStyle w:val="Enfasicorsivo"/>
            <w:b/>
            <w:bCs/>
            <w:color w:val="008000"/>
            <w:sz w:val="24"/>
            <w:u w:val="single"/>
          </w:rPr>
          <w:t>SDGs/UN</w:t>
        </w:r>
      </w:hyperlink>
      <w:r w:rsidRPr="00842337">
        <w:rPr>
          <w:rStyle w:val="badge"/>
          <w:b/>
          <w:sz w:val="24"/>
        </w:rPr>
        <w:t xml:space="preserve"> </w:t>
      </w:r>
    </w:p>
    <w:p w:rsidR="00557436" w:rsidRPr="00842337" w:rsidRDefault="00562939" w:rsidP="00557436">
      <w:pPr>
        <w:tabs>
          <w:tab w:val="left" w:pos="1902"/>
        </w:tabs>
        <w:jc w:val="right"/>
        <w:rPr>
          <w:rFonts w:ascii="Times New Roman" w:hAnsi="Times New Roman" w:cs="Times New Roman"/>
          <w:sz w:val="24"/>
          <w:szCs w:val="24"/>
        </w:rPr>
      </w:pPr>
      <w:hyperlink r:id="rId62" w:history="1">
        <w:r w:rsidR="00557436" w:rsidRPr="00842337">
          <w:rPr>
            <w:rStyle w:val="Collegamentoipertestuale"/>
            <w:rFonts w:ascii="Times New Roman" w:hAnsi="Times New Roman" w:cs="Times New Roman"/>
            <w:b/>
            <w:i/>
            <w:sz w:val="24"/>
            <w:szCs w:val="24"/>
            <w:lang w:eastAsia="it-IT"/>
          </w:rPr>
          <w:t>http://www.expotv1.com/ESCP_Hello.htm</w:t>
        </w:r>
      </w:hyperlink>
    </w:p>
    <w:p w:rsidR="00557436" w:rsidRPr="00842337" w:rsidRDefault="00557436" w:rsidP="00557436">
      <w:pPr>
        <w:rPr>
          <w:rFonts w:ascii="Times New Roman" w:hAnsi="Times New Roman" w:cs="Times New Roman"/>
          <w:sz w:val="24"/>
          <w:szCs w:val="24"/>
        </w:rPr>
      </w:pPr>
      <w:r w:rsidRPr="00842337">
        <w:rPr>
          <w:rFonts w:ascii="Times New Roman" w:hAnsi="Times New Roman" w:cs="Times New Roman"/>
          <w:sz w:val="24"/>
          <w:szCs w:val="24"/>
        </w:rPr>
        <w:br w:type="page"/>
      </w:r>
    </w:p>
    <w:p w:rsidR="00557436" w:rsidRPr="00842337" w:rsidRDefault="00557436" w:rsidP="00557436">
      <w:pPr>
        <w:rPr>
          <w:rFonts w:ascii="Times New Roman" w:hAnsi="Times New Roman" w:cs="Times New Roman"/>
          <w:sz w:val="24"/>
          <w:szCs w:val="24"/>
        </w:rPr>
      </w:pPr>
    </w:p>
    <w:p w:rsidR="00557436" w:rsidRPr="00842337" w:rsidRDefault="00557436" w:rsidP="00557436">
      <w:pPr>
        <w:jc w:val="center"/>
        <w:rPr>
          <w:rFonts w:ascii="Times New Roman" w:hAnsi="Times New Roman" w:cs="Times New Roman"/>
          <w:sz w:val="24"/>
          <w:szCs w:val="24"/>
          <w:lang w:val="en-US"/>
        </w:rPr>
      </w:pPr>
      <w:r w:rsidRPr="00842337">
        <w:rPr>
          <w:rFonts w:ascii="Times New Roman" w:hAnsi="Times New Roman" w:cs="Times New Roman"/>
          <w:noProof/>
          <w:sz w:val="24"/>
          <w:szCs w:val="24"/>
          <w:lang w:eastAsia="it-IT"/>
        </w:rPr>
        <w:drawing>
          <wp:inline distT="0" distB="0" distL="0" distR="0">
            <wp:extent cx="3138571" cy="4441834"/>
            <wp:effectExtent l="19050" t="0" r="4679" b="0"/>
            <wp:docPr id="1" name="Immagine 2" descr="V0_PB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PBRC.png"/>
                    <pic:cNvPicPr/>
                  </pic:nvPicPr>
                  <pic:blipFill>
                    <a:blip r:embed="rId63"/>
                    <a:stretch>
                      <a:fillRect/>
                    </a:stretch>
                  </pic:blipFill>
                  <pic:spPr>
                    <a:xfrm>
                      <a:off x="0" y="0"/>
                      <a:ext cx="3141944" cy="4446608"/>
                    </a:xfrm>
                    <a:prstGeom prst="rect">
                      <a:avLst/>
                    </a:prstGeom>
                  </pic:spPr>
                </pic:pic>
              </a:graphicData>
            </a:graphic>
          </wp:inline>
        </w:drawing>
      </w:r>
    </w:p>
    <w:p w:rsidR="00557436" w:rsidRPr="00842337" w:rsidRDefault="00557436" w:rsidP="00557436">
      <w:pPr>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57436" w:rsidRPr="00842337" w:rsidRDefault="00557436" w:rsidP="00557436">
      <w:pPr>
        <w:pStyle w:val="Titolo1"/>
        <w:rPr>
          <w:rFonts w:ascii="Times New Roman" w:hAnsi="Times New Roman" w:cs="Times New Roman"/>
          <w:lang w:val="en-US"/>
        </w:rPr>
      </w:pPr>
      <w:bookmarkStart w:id="94" w:name="_Toc149491256"/>
      <w:r w:rsidRPr="00842337">
        <w:rPr>
          <w:rFonts w:ascii="Times New Roman" w:hAnsi="Times New Roman" w:cs="Times New Roman"/>
          <w:lang w:val="en-US"/>
        </w:rPr>
        <w:lastRenderedPageBreak/>
        <w:t>International Application Status Report</w:t>
      </w:r>
      <w:bookmarkEnd w:id="94"/>
    </w:p>
    <w:p w:rsidR="00557436" w:rsidRPr="00842337" w:rsidRDefault="00557436" w:rsidP="00557436">
      <w:pPr>
        <w:rPr>
          <w:rFonts w:ascii="Times New Roman" w:hAnsi="Times New Roman" w:cs="Times New Roman"/>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Received at International Bureau: 01 February 2016 (01.02.2016)</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Information valid as of: 17 June 2016 (17.06.2016)</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Report generated on: 30 September 2023 (30.09.2023)</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(10) Publication number: </w:t>
      </w:r>
      <w:r w:rsidRPr="00842337">
        <w:rPr>
          <w:rFonts w:ascii="Times New Roman" w:hAnsi="Times New Roman" w:cs="Times New Roman"/>
          <w:sz w:val="24"/>
          <w:szCs w:val="24"/>
          <w:lang w:val="en-US"/>
        </w:rPr>
        <w:tab/>
        <w:t xml:space="preserve">(43) Publication date: </w:t>
      </w:r>
      <w:r w:rsidRPr="00842337">
        <w:rPr>
          <w:rFonts w:ascii="Times New Roman" w:hAnsi="Times New Roman" w:cs="Times New Roman"/>
          <w:sz w:val="24"/>
          <w:szCs w:val="24"/>
          <w:lang w:val="en-US"/>
        </w:rPr>
        <w:tab/>
        <w:t>(26) Publication language:</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WO 2016/092583</w:t>
      </w:r>
      <w:r w:rsidRPr="00842337">
        <w:rPr>
          <w:rFonts w:ascii="Times New Roman" w:hAnsi="Times New Roman" w:cs="Times New Roman"/>
          <w:sz w:val="24"/>
          <w:szCs w:val="24"/>
          <w:lang w:val="en-US"/>
        </w:rPr>
        <w:tab/>
        <w:t xml:space="preserve">16 June 2016 (16.06.2016) </w:t>
      </w:r>
      <w:r w:rsidRPr="00842337">
        <w:rPr>
          <w:rFonts w:ascii="Times New Roman" w:hAnsi="Times New Roman" w:cs="Times New Roman"/>
          <w:sz w:val="24"/>
          <w:szCs w:val="24"/>
          <w:lang w:val="en-US"/>
        </w:rPr>
        <w:tab/>
        <w:t>English (EN)</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(21) Application number: </w:t>
      </w:r>
      <w:r w:rsidRPr="00842337">
        <w:rPr>
          <w:rFonts w:ascii="Times New Roman" w:hAnsi="Times New Roman" w:cs="Times New Roman"/>
          <w:sz w:val="24"/>
          <w:szCs w:val="24"/>
          <w:lang w:val="en-US"/>
        </w:rPr>
        <w:tab/>
        <w:t xml:space="preserve">(22) Filing date: </w:t>
      </w:r>
      <w:r w:rsidRPr="00842337">
        <w:rPr>
          <w:rFonts w:ascii="Times New Roman" w:hAnsi="Times New Roman" w:cs="Times New Roman"/>
          <w:sz w:val="24"/>
          <w:szCs w:val="24"/>
          <w:lang w:val="en-US"/>
        </w:rPr>
        <w:tab/>
        <w:t>(25) Filing language:</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PCT/IT2015/000307</w:t>
      </w:r>
      <w:r w:rsidRPr="00842337">
        <w:rPr>
          <w:rFonts w:ascii="Times New Roman" w:hAnsi="Times New Roman" w:cs="Times New Roman"/>
          <w:sz w:val="24"/>
          <w:szCs w:val="24"/>
          <w:lang w:val="en-US"/>
        </w:rPr>
        <w:tab/>
        <w:t xml:space="preserve">14 December 2015 (14.12.2015) </w:t>
      </w:r>
      <w:r w:rsidRPr="00842337">
        <w:rPr>
          <w:rFonts w:ascii="Times New Roman" w:hAnsi="Times New Roman" w:cs="Times New Roman"/>
          <w:sz w:val="24"/>
          <w:szCs w:val="24"/>
          <w:lang w:val="en-US"/>
        </w:rPr>
        <w:tab/>
        <w:t>Italian (IT)</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(31) Priority number(s): </w:t>
      </w:r>
      <w:r w:rsidRPr="00842337">
        <w:rPr>
          <w:rFonts w:ascii="Times New Roman" w:hAnsi="Times New Roman" w:cs="Times New Roman"/>
          <w:sz w:val="24"/>
          <w:szCs w:val="24"/>
          <w:lang w:val="en-US"/>
        </w:rPr>
        <w:tab/>
        <w:t xml:space="preserve">(32) Priority date(s): </w:t>
      </w:r>
      <w:r w:rsidRPr="00842337">
        <w:rPr>
          <w:rFonts w:ascii="Times New Roman" w:hAnsi="Times New Roman" w:cs="Times New Roman"/>
          <w:sz w:val="24"/>
          <w:szCs w:val="24"/>
          <w:lang w:val="en-US"/>
        </w:rPr>
        <w:tab/>
        <w:t>(33) Priority status:</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MI2014A002124 (IT)</w:t>
      </w:r>
      <w:r w:rsidRPr="00842337">
        <w:rPr>
          <w:rFonts w:ascii="Times New Roman" w:hAnsi="Times New Roman" w:cs="Times New Roman"/>
          <w:sz w:val="24"/>
          <w:szCs w:val="24"/>
          <w:lang w:val="en-US"/>
        </w:rPr>
        <w:tab/>
        <w:t xml:space="preserve">12 December 2014 (12.12.2014) </w:t>
      </w:r>
      <w:r w:rsidRPr="00842337">
        <w:rPr>
          <w:rFonts w:ascii="Times New Roman" w:hAnsi="Times New Roman" w:cs="Times New Roman"/>
          <w:sz w:val="24"/>
          <w:szCs w:val="24"/>
          <w:lang w:val="en-US"/>
        </w:rPr>
        <w:tab/>
        <w:t>Priority document received (in compliance with PCT Rule 17.1)</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(51) International Patent Classification:</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C12M 1/00 (2006.01)</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(71) Applicant(s):</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LAVANGA, Vito [IT/IT]; Via Terrazzano 85 20017 Rho (Ml) (IT) (for all designated states)</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rPr>
      </w:pPr>
      <w:r w:rsidRPr="00842337">
        <w:rPr>
          <w:rFonts w:ascii="Times New Roman" w:hAnsi="Times New Roman" w:cs="Times New Roman"/>
          <w:sz w:val="24"/>
          <w:szCs w:val="24"/>
        </w:rPr>
        <w:lastRenderedPageBreak/>
        <w:t>(72) Inventor(s):</w:t>
      </w:r>
    </w:p>
    <w:p w:rsidR="00557436" w:rsidRPr="00842337" w:rsidRDefault="00557436" w:rsidP="00557436">
      <w:pPr>
        <w:spacing w:line="360" w:lineRule="auto"/>
        <w:jc w:val="both"/>
        <w:rPr>
          <w:rFonts w:ascii="Times New Roman" w:hAnsi="Times New Roman" w:cs="Times New Roman"/>
          <w:sz w:val="24"/>
          <w:szCs w:val="24"/>
        </w:rPr>
      </w:pPr>
      <w:r w:rsidRPr="00842337">
        <w:rPr>
          <w:rFonts w:ascii="Times New Roman" w:hAnsi="Times New Roman" w:cs="Times New Roman"/>
          <w:sz w:val="24"/>
          <w:szCs w:val="24"/>
        </w:rPr>
        <w:t>LAVANGA, Vito; Via Terrazzano 85 20017 Rho (Ml) (IT)</w:t>
      </w:r>
    </w:p>
    <w:p w:rsidR="00557436" w:rsidRPr="00842337" w:rsidRDefault="00557436" w:rsidP="00557436">
      <w:pPr>
        <w:spacing w:line="360" w:lineRule="auto"/>
        <w:jc w:val="both"/>
        <w:rPr>
          <w:rFonts w:ascii="Times New Roman" w:hAnsi="Times New Roman" w:cs="Times New Roman"/>
          <w:sz w:val="24"/>
          <w:szCs w:val="24"/>
        </w:rPr>
      </w:pPr>
      <w:r w:rsidRPr="00842337">
        <w:rPr>
          <w:rFonts w:ascii="Times New Roman" w:hAnsi="Times New Roman" w:cs="Times New Roman"/>
          <w:sz w:val="24"/>
          <w:szCs w:val="24"/>
        </w:rPr>
        <w:t>FARNE', Stefano; Via Trasimeno 40/14 20128 Milano (MI) (IT)</w:t>
      </w:r>
    </w:p>
    <w:p w:rsidR="00557436" w:rsidRPr="00842337" w:rsidRDefault="00557436" w:rsidP="00557436">
      <w:pPr>
        <w:spacing w:line="360" w:lineRule="auto"/>
        <w:jc w:val="both"/>
        <w:rPr>
          <w:rFonts w:ascii="Times New Roman" w:hAnsi="Times New Roman" w:cs="Times New Roman"/>
          <w:sz w:val="24"/>
          <w:szCs w:val="24"/>
        </w:rPr>
      </w:pPr>
    </w:p>
    <w:p w:rsidR="00557436" w:rsidRPr="00842337" w:rsidRDefault="00557436" w:rsidP="00557436">
      <w:pPr>
        <w:spacing w:line="360" w:lineRule="auto"/>
        <w:jc w:val="both"/>
        <w:rPr>
          <w:rFonts w:ascii="Times New Roman" w:hAnsi="Times New Roman" w:cs="Times New Roman"/>
          <w:sz w:val="24"/>
          <w:szCs w:val="24"/>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(54) Title (EN): METHOD FOR GROWING MICROALGAE, AND DEVICE FOR IMPLEMENTING SAID METHOD</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(54) Title (FR): PROCÉDÉ DE CULTURE DE MICROALGUES ET DISPOSITIF DE MISE EN OEUVRE DE CE PROCÉDÉ</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(57) Abstract:</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(EN): This invention relates to a method and to a device to implement said method, to cultivate microalgae and to obtain the simultaneous separation of oleic and protein parts, reducing the required space and drawing mainly from renewable energy sources.</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(FR): La présente invention concerne un procédé, et un dispositif permettant de mettre en oeuvre ledit procédé, de culture de microalgues et d'obtention de la séparation simultanée des parties oléiques et protéiques, réduisant l'espace nécessaire et utilisant principalement des sources d'énergie renouvelable. Le procédé est caractérisé par le fait qu'il comprend les phases suivantes : • ledit mélange aqueux, contenant ledit inoculum, suit un trajet (B) d'un point d'entrée (C) à un point de sortie (D), le long duquel il est irradié par un spectre de rayonnement approprié au développement et à la croissance desdites microalgues; • le long dudit trajet (B) des sels NPK (contenant de l'azote, du phosphore et du potassium) et du CO2 y sont ajoutés, ces </w:t>
      </w:r>
      <w:r w:rsidRPr="00842337">
        <w:rPr>
          <w:rFonts w:ascii="Times New Roman" w:hAnsi="Times New Roman" w:cs="Times New Roman"/>
          <w:sz w:val="24"/>
          <w:szCs w:val="24"/>
          <w:lang w:val="en-US"/>
        </w:rPr>
        <w:lastRenderedPageBreak/>
        <w:t xml:space="preserve">ajouts, conjointement à la diffusion dudit spectre de rayonnement, provoquant une croissance intense desdites algues ; • ledit mélange, fortement enrichi de micro-algues, est inondé d'ultrasons qui détruisent les algues adultes, les séparant en composants oléiques et protéiques, ladite action provoquant la formation d'un nouveau mélange aqueux dans lequel une fraction oléique et une fraction protéique sont présentes ; • ledit nouveau mélange aqueux est soumis à une séparation gravimétrique spontanée de telle sorte que : • une fraction oléique, plus légère, migre dans la partie supérieure dudit nouveau mélange ; • une fraction protéique, plus lourde, migre dans la partie inférieure dudit nouveau mélange ; • une fraction neutre composée presque exclusivement d'eau reste dans la partie intermédiaire dudit nouveau mélange ; · lesdites trois fractions sont prises individuellement. Le dispositif (A) est caractérisé par le fait qu'il comprend : • un bassin (1) adapté pour contenir ledit mélange aqueux ; • un ou plusieurs déflecteurs (3, 4, 5) montés de façon à délimiter un trajet (B) d'un point (C) à point (D), ledit ou lesdits </w:t>
      </w:r>
      <w:r w:rsidRPr="00842337">
        <w:rPr>
          <w:rFonts w:ascii="Times New Roman" w:hAnsi="Times New Roman" w:cs="Times New Roman"/>
          <w:sz w:val="24"/>
          <w:szCs w:val="24"/>
          <w:lang w:val="en-US"/>
        </w:rPr>
        <w:lastRenderedPageBreak/>
        <w:t>déflecteurs (3, 4, 5) étant des panneaux diffuseurs du spectre de rayonnement homogènes, appropriés à la phase de culture ; • un moyen adapté pour fournir, audit mélange fluide, des sels NPK (sels d'azote, de phosphore et de potassium) et du CO2, ledit moyen étant disposé le long dudit trajet (B) ; • un moyen (9) adapté pour produire des ultrasons, positionné au niveau du point final (D) dudit trajet (B), lesdits ultrasons étant d'une puissance suffisante pour détruire les algues adultes en les séparant en composants oléiques et protéiques, donnant lieu à un nouveau mélange fluide dans lequel sont présentes une phase oléique, une phase protéique et une phase neutre ; • un moyen adapté pour diffuser ledit nouveau mélange fluide, afin de mettre en œuvre une séparation gravimétrique desdites phases oléique, protéique et neutre ; • un moyen adapté pour collecter séparément lesdites phases oléique, protéique et neutre.</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International search report:</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Received at International Bureau: 30 May 2016 (30.05.2016) [EP]</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International Report on Patentability (IPRP) Chapter II of the PCT:</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Not available</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(81) Designated States:</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 xml:space="preserve">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w:t>
      </w:r>
      <w:r w:rsidRPr="00842337">
        <w:rPr>
          <w:rFonts w:ascii="Times New Roman" w:hAnsi="Times New Roman" w:cs="Times New Roman"/>
          <w:sz w:val="24"/>
          <w:szCs w:val="24"/>
          <w:lang w:val="en-US"/>
        </w:rPr>
        <w:lastRenderedPageBreak/>
        <w:t>SY, TH, TJ, TM, TN, TR, TT, TZ, UA, UG, US, UZ, VC, VN, ZA, ZM, ZW</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African Intellectual Property Organization (OAPI) : BF, BJ, CF, CG, CI, CM, GA, GN, GQ, GW, KM, ML, MR, NE, SN, TD, TG</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African Regional Intellectual Property Organization (ARIPO) : BW, GH, GM, KE, LR, LS, MW, MZ, NA, RW, SD, SL, ST, SZ, TZ, UG, ZM, ZW</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Eurasian Patent Organization (EAPO) : AM, AZ, BY, KG, KZ, RU, TJ, TM</w:t>
      </w:r>
    </w:p>
    <w:p w:rsidR="00557436" w:rsidRPr="00842337" w:rsidRDefault="00557436" w:rsidP="00557436">
      <w:pPr>
        <w:spacing w:line="360" w:lineRule="auto"/>
        <w:jc w:val="both"/>
        <w:rPr>
          <w:rFonts w:ascii="Times New Roman" w:hAnsi="Times New Roman" w:cs="Times New Roman"/>
          <w:sz w:val="24"/>
          <w:szCs w:val="24"/>
          <w:lang w:val="en-US"/>
        </w:rPr>
      </w:pP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Declarations:</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lastRenderedPageBreak/>
        <w:t>Declaration made as applicant's entitlement, as at the international filing date, to apply for and be granted a patent (Rules 4.17(ii) and 51bis.1(a)(ii)), in a case where the declaration under Rule 4.17(iv) is not appropriate</w:t>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sz w:val="24"/>
          <w:szCs w:val="24"/>
          <w:lang w:val="en-US"/>
        </w:rPr>
        <w:t>Declaration of inventorship (Rules 4.17(iv) and 51bis.1(a)(iv)) for the purposes of the designation of the United States of America</w:t>
      </w:r>
    </w:p>
    <w:p w:rsidR="00557436" w:rsidRPr="00842337" w:rsidRDefault="00557436" w:rsidP="00557436">
      <w:pPr>
        <w:rPr>
          <w:rFonts w:ascii="Times New Roman" w:hAnsi="Times New Roman" w:cs="Times New Roman"/>
          <w:sz w:val="24"/>
          <w:szCs w:val="24"/>
          <w:lang w:val="en-US"/>
        </w:rPr>
      </w:pPr>
      <w:r w:rsidRPr="00842337">
        <w:rPr>
          <w:rFonts w:ascii="Times New Roman" w:hAnsi="Times New Roman" w:cs="Times New Roman"/>
          <w:sz w:val="24"/>
          <w:szCs w:val="24"/>
          <w:lang w:val="en-US"/>
        </w:rPr>
        <w:br w:type="page"/>
      </w:r>
    </w:p>
    <w:p w:rsidR="00557436" w:rsidRPr="00842337" w:rsidRDefault="00557436" w:rsidP="00557436">
      <w:pPr>
        <w:spacing w:line="360" w:lineRule="auto"/>
        <w:jc w:val="both"/>
        <w:rPr>
          <w:rFonts w:ascii="Times New Roman" w:hAnsi="Times New Roman" w:cs="Times New Roman"/>
          <w:sz w:val="24"/>
          <w:szCs w:val="24"/>
          <w:lang w:val="en-US"/>
        </w:rPr>
      </w:pPr>
      <w:r w:rsidRPr="00842337">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4"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4"/>
                    <a:stretch>
                      <a:fillRect/>
                    </a:stretch>
                  </pic:blipFill>
                  <pic:spPr>
                    <a:xfrm rot="16200000">
                      <a:off x="0" y="0"/>
                      <a:ext cx="4818316" cy="3122684"/>
                    </a:xfrm>
                    <a:prstGeom prst="rect">
                      <a:avLst/>
                    </a:prstGeom>
                  </pic:spPr>
                </pic:pic>
              </a:graphicData>
            </a:graphic>
          </wp:inline>
        </w:drawing>
      </w:r>
    </w:p>
    <w:p w:rsidR="00EA4604" w:rsidRPr="00842337" w:rsidRDefault="00EA4604" w:rsidP="00557436">
      <w:pPr>
        <w:rPr>
          <w:rFonts w:ascii="Times New Roman" w:hAnsi="Times New Roman" w:cs="Times New Roman"/>
          <w:szCs w:val="24"/>
        </w:rPr>
      </w:pPr>
    </w:p>
    <w:sectPr w:rsidR="00EA4604" w:rsidRPr="00842337" w:rsidSect="00D86830">
      <w:footerReference w:type="default" r:id="rId65"/>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039" w:rsidRDefault="00746039" w:rsidP="00F0731B">
      <w:pPr>
        <w:spacing w:after="0" w:line="240" w:lineRule="auto"/>
      </w:pPr>
      <w:r>
        <w:separator/>
      </w:r>
    </w:p>
  </w:endnote>
  <w:endnote w:type="continuationSeparator" w:id="1">
    <w:p w:rsidR="00746039" w:rsidRDefault="00746039"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A311E8" w:rsidRDefault="00562939">
        <w:pPr>
          <w:pStyle w:val="Pidipagina"/>
          <w:jc w:val="center"/>
        </w:pPr>
        <w:fldSimple w:instr=" PAGE   \* MERGEFORMAT ">
          <w:r w:rsidR="00E06770">
            <w:rPr>
              <w:noProof/>
            </w:rPr>
            <w:t>2</w:t>
          </w:r>
        </w:fldSimple>
      </w:p>
    </w:sdtContent>
  </w:sdt>
  <w:p w:rsidR="00A311E8" w:rsidRDefault="00A311E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039" w:rsidRDefault="00746039" w:rsidP="00F0731B">
      <w:pPr>
        <w:spacing w:after="0" w:line="240" w:lineRule="auto"/>
      </w:pPr>
      <w:r>
        <w:separator/>
      </w:r>
    </w:p>
  </w:footnote>
  <w:footnote w:type="continuationSeparator" w:id="1">
    <w:p w:rsidR="00746039" w:rsidRDefault="00746039"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72"/>
    <w:multiLevelType w:val="hybridMultilevel"/>
    <w:tmpl w:val="5D28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21A36"/>
    <w:multiLevelType w:val="hybridMultilevel"/>
    <w:tmpl w:val="5394C4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4556B2D"/>
    <w:multiLevelType w:val="hybridMultilevel"/>
    <w:tmpl w:val="D6EE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870F2"/>
    <w:multiLevelType w:val="hybridMultilevel"/>
    <w:tmpl w:val="C406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83A73"/>
    <w:multiLevelType w:val="multilevel"/>
    <w:tmpl w:val="15D2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493826"/>
    <w:multiLevelType w:val="hybridMultilevel"/>
    <w:tmpl w:val="6A1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6954BD"/>
    <w:multiLevelType w:val="multilevel"/>
    <w:tmpl w:val="264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9C32763"/>
    <w:multiLevelType w:val="hybridMultilevel"/>
    <w:tmpl w:val="3B6289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AAC07C0"/>
    <w:multiLevelType w:val="hybridMultilevel"/>
    <w:tmpl w:val="FA48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C2F25"/>
    <w:multiLevelType w:val="multilevel"/>
    <w:tmpl w:val="B402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442CF8"/>
    <w:multiLevelType w:val="multilevel"/>
    <w:tmpl w:val="BF86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CF0EC5"/>
    <w:multiLevelType w:val="hybridMultilevel"/>
    <w:tmpl w:val="959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02178C"/>
    <w:multiLevelType w:val="multilevel"/>
    <w:tmpl w:val="34B0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A21FFB"/>
    <w:multiLevelType w:val="multilevel"/>
    <w:tmpl w:val="51C6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6A78E3"/>
    <w:multiLevelType w:val="multilevel"/>
    <w:tmpl w:val="C58E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7A959C2"/>
    <w:multiLevelType w:val="multilevel"/>
    <w:tmpl w:val="7108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92D11F9"/>
    <w:multiLevelType w:val="multilevel"/>
    <w:tmpl w:val="471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99D6470"/>
    <w:multiLevelType w:val="multilevel"/>
    <w:tmpl w:val="DFA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9D53816"/>
    <w:multiLevelType w:val="hybridMultilevel"/>
    <w:tmpl w:val="EA88F8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C76008A"/>
    <w:multiLevelType w:val="hybridMultilevel"/>
    <w:tmpl w:val="BEA6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526F46"/>
    <w:multiLevelType w:val="hybridMultilevel"/>
    <w:tmpl w:val="80E8DFE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27007229"/>
    <w:multiLevelType w:val="hybridMultilevel"/>
    <w:tmpl w:val="B4D8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4C28D7"/>
    <w:multiLevelType w:val="multilevel"/>
    <w:tmpl w:val="E14CC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8FE544B"/>
    <w:multiLevelType w:val="multilevel"/>
    <w:tmpl w:val="10AE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083702"/>
    <w:multiLevelType w:val="multilevel"/>
    <w:tmpl w:val="146A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D4423"/>
    <w:multiLevelType w:val="multilevel"/>
    <w:tmpl w:val="7B44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A079CA"/>
    <w:multiLevelType w:val="multilevel"/>
    <w:tmpl w:val="3562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BA5513"/>
    <w:multiLevelType w:val="hybridMultilevel"/>
    <w:tmpl w:val="D608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B1B0A"/>
    <w:multiLevelType w:val="multilevel"/>
    <w:tmpl w:val="2F9E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28711D"/>
    <w:multiLevelType w:val="multilevel"/>
    <w:tmpl w:val="59AC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D97B0E"/>
    <w:multiLevelType w:val="hybridMultilevel"/>
    <w:tmpl w:val="25C6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730892"/>
    <w:multiLevelType w:val="hybridMultilevel"/>
    <w:tmpl w:val="10DE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BF6B48"/>
    <w:multiLevelType w:val="multilevel"/>
    <w:tmpl w:val="CC568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CB3921"/>
    <w:multiLevelType w:val="multilevel"/>
    <w:tmpl w:val="B4FA7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7132CC"/>
    <w:multiLevelType w:val="hybridMultilevel"/>
    <w:tmpl w:val="BB1C9D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89C3A55"/>
    <w:multiLevelType w:val="multilevel"/>
    <w:tmpl w:val="3248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1A2F92"/>
    <w:multiLevelType w:val="hybridMultilevel"/>
    <w:tmpl w:val="6220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AE57F3"/>
    <w:multiLevelType w:val="hybridMultilevel"/>
    <w:tmpl w:val="C140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A846394"/>
    <w:multiLevelType w:val="hybridMultilevel"/>
    <w:tmpl w:val="F89A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9D27A0"/>
    <w:multiLevelType w:val="hybridMultilevel"/>
    <w:tmpl w:val="DF6A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0069DA"/>
    <w:multiLevelType w:val="multilevel"/>
    <w:tmpl w:val="4362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0E7A74"/>
    <w:multiLevelType w:val="multilevel"/>
    <w:tmpl w:val="F4B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F84BCF"/>
    <w:multiLevelType w:val="hybridMultilevel"/>
    <w:tmpl w:val="0E6E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6B1C2B"/>
    <w:multiLevelType w:val="hybridMultilevel"/>
    <w:tmpl w:val="083C2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4AE577F"/>
    <w:multiLevelType w:val="hybridMultilevel"/>
    <w:tmpl w:val="C9DE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528356D"/>
    <w:multiLevelType w:val="multilevel"/>
    <w:tmpl w:val="9E3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6CC1C26"/>
    <w:multiLevelType w:val="multilevel"/>
    <w:tmpl w:val="3A3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F823C6"/>
    <w:multiLevelType w:val="multilevel"/>
    <w:tmpl w:val="421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5FE0126"/>
    <w:multiLevelType w:val="multilevel"/>
    <w:tmpl w:val="9A66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B9686D"/>
    <w:multiLevelType w:val="hybridMultilevel"/>
    <w:tmpl w:val="FC8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885BC1"/>
    <w:multiLevelType w:val="multilevel"/>
    <w:tmpl w:val="8636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14D6FF5"/>
    <w:multiLevelType w:val="multilevel"/>
    <w:tmpl w:val="CDB4F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F5297A"/>
    <w:multiLevelType w:val="hybridMultilevel"/>
    <w:tmpl w:val="63D0A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7BC334CB"/>
    <w:multiLevelType w:val="multilevel"/>
    <w:tmpl w:val="0ECA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F250984"/>
    <w:multiLevelType w:val="multilevel"/>
    <w:tmpl w:val="9860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15"/>
  </w:num>
  <w:num w:numId="4">
    <w:abstractNumId w:val="45"/>
  </w:num>
  <w:num w:numId="5">
    <w:abstractNumId w:val="10"/>
  </w:num>
  <w:num w:numId="6">
    <w:abstractNumId w:val="16"/>
  </w:num>
  <w:num w:numId="7">
    <w:abstractNumId w:val="26"/>
  </w:num>
  <w:num w:numId="8">
    <w:abstractNumId w:val="4"/>
  </w:num>
  <w:num w:numId="9">
    <w:abstractNumId w:val="50"/>
  </w:num>
  <w:num w:numId="10">
    <w:abstractNumId w:val="47"/>
  </w:num>
  <w:num w:numId="11">
    <w:abstractNumId w:val="13"/>
  </w:num>
  <w:num w:numId="12">
    <w:abstractNumId w:val="40"/>
  </w:num>
  <w:num w:numId="13">
    <w:abstractNumId w:val="48"/>
  </w:num>
  <w:num w:numId="14">
    <w:abstractNumId w:val="35"/>
  </w:num>
  <w:num w:numId="15">
    <w:abstractNumId w:val="53"/>
  </w:num>
  <w:num w:numId="16">
    <w:abstractNumId w:val="18"/>
  </w:num>
  <w:num w:numId="17">
    <w:abstractNumId w:val="43"/>
  </w:num>
  <w:num w:numId="18">
    <w:abstractNumId w:val="34"/>
  </w:num>
  <w:num w:numId="19">
    <w:abstractNumId w:val="52"/>
  </w:num>
  <w:num w:numId="20">
    <w:abstractNumId w:val="39"/>
  </w:num>
  <w:num w:numId="21">
    <w:abstractNumId w:val="49"/>
  </w:num>
  <w:num w:numId="22">
    <w:abstractNumId w:val="42"/>
  </w:num>
  <w:num w:numId="23">
    <w:abstractNumId w:val="31"/>
  </w:num>
  <w:num w:numId="24">
    <w:abstractNumId w:val="30"/>
  </w:num>
  <w:num w:numId="25">
    <w:abstractNumId w:val="0"/>
  </w:num>
  <w:num w:numId="26">
    <w:abstractNumId w:val="36"/>
  </w:num>
  <w:num w:numId="27">
    <w:abstractNumId w:val="7"/>
  </w:num>
  <w:num w:numId="28">
    <w:abstractNumId w:val="5"/>
  </w:num>
  <w:num w:numId="29">
    <w:abstractNumId w:val="27"/>
  </w:num>
  <w:num w:numId="30">
    <w:abstractNumId w:val="1"/>
  </w:num>
  <w:num w:numId="31">
    <w:abstractNumId w:val="11"/>
  </w:num>
  <w:num w:numId="32">
    <w:abstractNumId w:val="38"/>
  </w:num>
  <w:num w:numId="33">
    <w:abstractNumId w:val="44"/>
  </w:num>
  <w:num w:numId="34">
    <w:abstractNumId w:val="21"/>
  </w:num>
  <w:num w:numId="35">
    <w:abstractNumId w:val="2"/>
  </w:num>
  <w:num w:numId="36">
    <w:abstractNumId w:val="20"/>
  </w:num>
  <w:num w:numId="37">
    <w:abstractNumId w:val="37"/>
  </w:num>
  <w:num w:numId="38">
    <w:abstractNumId w:val="3"/>
  </w:num>
  <w:num w:numId="39">
    <w:abstractNumId w:val="24"/>
  </w:num>
  <w:num w:numId="40">
    <w:abstractNumId w:val="14"/>
  </w:num>
  <w:num w:numId="41">
    <w:abstractNumId w:val="12"/>
  </w:num>
  <w:num w:numId="42">
    <w:abstractNumId w:val="46"/>
  </w:num>
  <w:num w:numId="43">
    <w:abstractNumId w:val="22"/>
  </w:num>
  <w:num w:numId="44">
    <w:abstractNumId w:val="9"/>
  </w:num>
  <w:num w:numId="45">
    <w:abstractNumId w:val="29"/>
  </w:num>
  <w:num w:numId="46">
    <w:abstractNumId w:val="33"/>
  </w:num>
  <w:num w:numId="47">
    <w:abstractNumId w:val="32"/>
  </w:num>
  <w:num w:numId="48">
    <w:abstractNumId w:val="51"/>
  </w:num>
  <w:num w:numId="49">
    <w:abstractNumId w:val="25"/>
  </w:num>
  <w:num w:numId="50">
    <w:abstractNumId w:val="54"/>
  </w:num>
  <w:num w:numId="51">
    <w:abstractNumId w:val="28"/>
  </w:num>
  <w:num w:numId="52">
    <w:abstractNumId w:val="23"/>
  </w:num>
  <w:num w:numId="53">
    <w:abstractNumId w:val="41"/>
  </w:num>
  <w:num w:numId="54">
    <w:abstractNumId w:val="8"/>
  </w:num>
  <w:num w:numId="55">
    <w:abstractNumId w:val="1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B558C"/>
    <w:rsid w:val="001320F1"/>
    <w:rsid w:val="00173CE6"/>
    <w:rsid w:val="0017546D"/>
    <w:rsid w:val="001F059E"/>
    <w:rsid w:val="001F5528"/>
    <w:rsid w:val="00241EF4"/>
    <w:rsid w:val="00253B79"/>
    <w:rsid w:val="00294EE2"/>
    <w:rsid w:val="002A138F"/>
    <w:rsid w:val="002A799F"/>
    <w:rsid w:val="003305E6"/>
    <w:rsid w:val="003B0B7A"/>
    <w:rsid w:val="004A0B27"/>
    <w:rsid w:val="004A54FD"/>
    <w:rsid w:val="004D4C3E"/>
    <w:rsid w:val="005544BF"/>
    <w:rsid w:val="00557436"/>
    <w:rsid w:val="00562939"/>
    <w:rsid w:val="005772FE"/>
    <w:rsid w:val="005D5B77"/>
    <w:rsid w:val="0062190E"/>
    <w:rsid w:val="00631909"/>
    <w:rsid w:val="00670B98"/>
    <w:rsid w:val="006E6FA1"/>
    <w:rsid w:val="00700454"/>
    <w:rsid w:val="00746039"/>
    <w:rsid w:val="007A44AD"/>
    <w:rsid w:val="007D5AA6"/>
    <w:rsid w:val="008026D6"/>
    <w:rsid w:val="00832F6A"/>
    <w:rsid w:val="00842337"/>
    <w:rsid w:val="00876873"/>
    <w:rsid w:val="00894450"/>
    <w:rsid w:val="008C0579"/>
    <w:rsid w:val="008E4FE1"/>
    <w:rsid w:val="00967B9B"/>
    <w:rsid w:val="00972BA9"/>
    <w:rsid w:val="00974ADB"/>
    <w:rsid w:val="00A311E8"/>
    <w:rsid w:val="00AC609C"/>
    <w:rsid w:val="00AD1415"/>
    <w:rsid w:val="00B33D68"/>
    <w:rsid w:val="00C165F1"/>
    <w:rsid w:val="00C23BF5"/>
    <w:rsid w:val="00C57364"/>
    <w:rsid w:val="00C62493"/>
    <w:rsid w:val="00C74734"/>
    <w:rsid w:val="00D16CB3"/>
    <w:rsid w:val="00D86830"/>
    <w:rsid w:val="00DB04CD"/>
    <w:rsid w:val="00E06770"/>
    <w:rsid w:val="00E40853"/>
    <w:rsid w:val="00E94710"/>
    <w:rsid w:val="00EA4604"/>
    <w:rsid w:val="00F05D51"/>
    <w:rsid w:val="00F0731B"/>
    <w:rsid w:val="00F806D7"/>
    <w:rsid w:val="00F91FCD"/>
    <w:rsid w:val="00F927CC"/>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7436"/>
  </w:style>
  <w:style w:type="paragraph" w:styleId="Titolo1">
    <w:name w:val="heading 1"/>
    <w:basedOn w:val="Normale"/>
    <w:next w:val="Normale"/>
    <w:link w:val="Titolo1Carattere"/>
    <w:uiPriority w:val="9"/>
    <w:qFormat/>
    <w:rsid w:val="00D86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683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842337"/>
    <w:pPr>
      <w:tabs>
        <w:tab w:val="right" w:leader="dot" w:pos="5659"/>
      </w:tabs>
      <w:spacing w:after="100"/>
      <w:ind w:left="220"/>
    </w:pPr>
    <w:rPr>
      <w:noProof/>
      <w:lang w:val="en-US"/>
    </w:rPr>
  </w:style>
  <w:style w:type="paragraph" w:styleId="Sommario1">
    <w:name w:val="toc 1"/>
    <w:basedOn w:val="Normale"/>
    <w:next w:val="Normale"/>
    <w:autoRedefine/>
    <w:uiPriority w:val="39"/>
    <w:unhideWhenUsed/>
    <w:rsid w:val="00F806D7"/>
    <w:pPr>
      <w:tabs>
        <w:tab w:val="right" w:leader="dot" w:pos="5659"/>
      </w:tabs>
      <w:spacing w:after="100"/>
    </w:pPr>
    <w:rPr>
      <w:rFonts w:ascii="Times New Roman" w:hAnsi="Times New Roman" w:cs="Times New Roman"/>
      <w:b/>
      <w:noProof/>
      <w:lang w:val="en-US"/>
    </w:rPr>
  </w:style>
  <w:style w:type="paragraph" w:styleId="Paragrafoelenco">
    <w:name w:val="List Paragraph"/>
    <w:basedOn w:val="Normale"/>
    <w:uiPriority w:val="34"/>
    <w:qFormat/>
    <w:rsid w:val="005D5B77"/>
    <w:pPr>
      <w:spacing w:after="120" w:line="264" w:lineRule="auto"/>
      <w:ind w:left="720"/>
      <w:contextualSpacing/>
    </w:pPr>
    <w:rPr>
      <w:rFonts w:eastAsiaTheme="minorEastAsia" w:cs="Mangal"/>
      <w:sz w:val="20"/>
      <w:szCs w:val="18"/>
      <w:lang w:val="en-US" w:bidi="hi-IN"/>
    </w:rPr>
  </w:style>
  <w:style w:type="paragraph" w:styleId="Nessunaspaziatura">
    <w:name w:val="No Spacing"/>
    <w:uiPriority w:val="1"/>
    <w:qFormat/>
    <w:rsid w:val="008C05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algae+to+food%2ffeed%2fbiofuel%2c+in+urban+and+periurban%29&amp;FORM=HDRSC2"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JWT_to_SDG_UN.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4" TargetMode="External"/><Relationship Id="rId50" Type="http://schemas.openxmlformats.org/officeDocument/2006/relationships/hyperlink" Target="https://sdgs.un.org/goals/goal7" TargetMode="External"/><Relationship Id="rId55" Type="http://schemas.openxmlformats.org/officeDocument/2006/relationships/hyperlink" Target="https://sdgs.un.org/goals/goal12" TargetMode="External"/><Relationship Id="rId6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s://patentscope.wipo.int/search/en/detail.jsf?docId=WO20160925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PBRC.pdf" TargetMode="External"/><Relationship Id="rId32" Type="http://schemas.openxmlformats.org/officeDocument/2006/relationships/hyperlink" Target="http://www.expotv1.com/LIC/UIBM_PBRC.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2" TargetMode="External"/><Relationship Id="rId53" Type="http://schemas.openxmlformats.org/officeDocument/2006/relationships/hyperlink" Target="https://sdgs.un.org/goals/goal10" TargetMode="External"/><Relationship Id="rId58" Type="http://schemas.openxmlformats.org/officeDocument/2006/relationships/hyperlink" Target="https://sdgs.un.org/goals/goal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LIC/UIBM_PBR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6" TargetMode="External"/><Relationship Id="rId57" Type="http://schemas.openxmlformats.org/officeDocument/2006/relationships/hyperlink" Target="https://sdgs.un.org/goals/goal14" TargetMode="External"/><Relationship Id="rId61" Type="http://schemas.openxmlformats.org/officeDocument/2006/relationships/hyperlink" Target="http://www.expotv1.com/JWT_to_SDG_UN.pdf"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PUB/JWT_Service_EN.pdf" TargetMode="External"/><Relationship Id="rId44" Type="http://schemas.openxmlformats.org/officeDocument/2006/relationships/hyperlink" Target="https://sdgs.un.org/goals/goal1" TargetMode="External"/><Relationship Id="rId52" Type="http://schemas.openxmlformats.org/officeDocument/2006/relationships/hyperlink" Target="https://sdgs.un.org/goals/goal9" TargetMode="External"/><Relationship Id="rId60" Type="http://schemas.openxmlformats.org/officeDocument/2006/relationships/hyperlink" Target="https://sdgs.un.org/goals/goal17"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LIC/MISE_0001427412_PBRC.pdf" TargetMode="External"/><Relationship Id="rId30" Type="http://schemas.openxmlformats.org/officeDocument/2006/relationships/hyperlink" Target="http://www.expotv1.com/ESCP_Patent.htm"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5" TargetMode="External"/><Relationship Id="rId56" Type="http://schemas.openxmlformats.org/officeDocument/2006/relationships/hyperlink" Target="https://sdgs.un.org/goals/goal13" TargetMode="External"/><Relationship Id="rId64" Type="http://schemas.openxmlformats.org/officeDocument/2006/relationships/image" Target="media/image2.png"/><Relationship Id="rId8" Type="http://schemas.openxmlformats.org/officeDocument/2006/relationships/hyperlink" Target="http://www.expotv1.com/JWT_project.pdf" TargetMode="External"/><Relationship Id="rId51" Type="http://schemas.openxmlformats.org/officeDocument/2006/relationships/hyperlink" Target="https://sdgs.un.org/goals/goal8"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3" TargetMode="External"/><Relationship Id="rId33" Type="http://schemas.openxmlformats.org/officeDocument/2006/relationships/hyperlink" Target="https://patentscope.wipo.int/search/en/detail.jsf?docId=WO2016092583"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3" TargetMode="External"/><Relationship Id="rId59" Type="http://schemas.openxmlformats.org/officeDocument/2006/relationships/hyperlink" Target="https://sdgs.un.org/goals/goal16" TargetMode="External"/><Relationship Id="rId67" Type="http://schemas.openxmlformats.org/officeDocument/2006/relationships/theme" Target="theme/theme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1" TargetMode="External"/><Relationship Id="rId62" Type="http://schemas.openxmlformats.org/officeDocument/2006/relationships/hyperlink" Target="http://www.expotv1.com/ESCP_Hello.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26800</Words>
  <Characters>152760</Characters>
  <Application>Microsoft Office Word</Application>
  <DocSecurity>0</DocSecurity>
  <Lines>1273</Lines>
  <Paragraphs>358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179202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2023-10-08T18:26:00Z</dcterms:created>
  <dcterms:modified xsi:type="dcterms:W3CDTF">2023-10-29T16:13:00Z</dcterms:modified>
</cp:coreProperties>
</file>